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450" w:lineRule="atLeast"/>
        <w:ind w:firstLine="570"/>
        <w:rPr>
          <w:bCs/>
          <w:color w:val="333333"/>
          <w:sz w:val="28"/>
          <w:szCs w:val="28"/>
        </w:rPr>
      </w:pPr>
      <w:r>
        <w:rPr>
          <w:rFonts w:hint="eastAsia"/>
          <w:bCs/>
          <w:color w:val="333333"/>
          <w:sz w:val="28"/>
          <w:szCs w:val="28"/>
        </w:rPr>
        <w:t>附件1：</w:t>
      </w:r>
    </w:p>
    <w:p>
      <w:pPr>
        <w:pStyle w:val="5"/>
        <w:shd w:val="clear" w:color="auto" w:fill="FFFFFF"/>
        <w:spacing w:before="0" w:beforeAutospacing="0" w:after="0" w:afterAutospacing="0" w:line="450" w:lineRule="atLeast"/>
        <w:jc w:val="center"/>
        <w:rPr>
          <w:rFonts w:ascii="黑体" w:hAnsi="黑体" w:eastAsia="黑体"/>
          <w:color w:val="333333"/>
          <w:sz w:val="28"/>
          <w:szCs w:val="28"/>
        </w:rPr>
      </w:pPr>
      <w:r>
        <w:rPr>
          <w:rFonts w:hint="eastAsia" w:ascii="黑体" w:hAnsi="黑体" w:eastAsia="黑体"/>
          <w:sz w:val="32"/>
          <w:szCs w:val="32"/>
        </w:rPr>
        <w:t>河南大学第一附属医院</w:t>
      </w:r>
      <w:r>
        <w:rPr>
          <w:rFonts w:ascii="黑体" w:hAnsi="黑体" w:eastAsia="黑体"/>
          <w:sz w:val="32"/>
          <w:szCs w:val="32"/>
        </w:rPr>
        <w:t>培训费管理办法</w:t>
      </w:r>
    </w:p>
    <w:p>
      <w:pPr>
        <w:pStyle w:val="5"/>
        <w:shd w:val="clear" w:color="auto" w:fill="FFFFFF"/>
        <w:spacing w:before="0" w:beforeAutospacing="0" w:after="0" w:afterAutospacing="0" w:line="450" w:lineRule="atLeast"/>
        <w:jc w:val="center"/>
        <w:rPr>
          <w:b/>
          <w:color w:val="333333"/>
          <w:sz w:val="10"/>
          <w:szCs w:val="10"/>
        </w:rPr>
      </w:pPr>
    </w:p>
    <w:p>
      <w:pPr>
        <w:pStyle w:val="5"/>
        <w:shd w:val="clear" w:color="auto" w:fill="FFFFFF"/>
        <w:spacing w:before="0" w:beforeAutospacing="0" w:after="0" w:afterAutospacing="0" w:line="450" w:lineRule="atLeast"/>
        <w:jc w:val="center"/>
        <w:rPr>
          <w:color w:val="333333"/>
          <w:sz w:val="28"/>
          <w:szCs w:val="28"/>
        </w:rPr>
      </w:pPr>
      <w:r>
        <w:rPr>
          <w:rFonts w:hint="eastAsia"/>
          <w:b/>
          <w:color w:val="333333"/>
          <w:sz w:val="28"/>
          <w:szCs w:val="28"/>
        </w:rPr>
        <w:t>第一章   总则</w:t>
      </w:r>
    </w:p>
    <w:p>
      <w:pPr>
        <w:pStyle w:val="5"/>
        <w:shd w:val="clear" w:color="auto" w:fill="FFFFFF"/>
        <w:spacing w:before="225" w:beforeAutospacing="0" w:after="0" w:afterAutospacing="0" w:line="450" w:lineRule="atLeast"/>
        <w:ind w:firstLine="560" w:firstLineChars="200"/>
        <w:rPr>
          <w:color w:val="333333"/>
          <w:sz w:val="28"/>
          <w:szCs w:val="28"/>
        </w:rPr>
      </w:pPr>
      <w:r>
        <w:rPr>
          <w:rFonts w:hint="eastAsia"/>
          <w:color w:val="333333"/>
          <w:sz w:val="28"/>
          <w:szCs w:val="28"/>
        </w:rPr>
        <w:t>第一条  为进一步规范河南大学第一附属医院（以下简称医院）培训工作，保证培训工作需要，加强培训经费管理，依据《中华人民共和国公务员法》《干部教育培训工作条例》以及《中央和国家机关培训费管理办法》和《河南省省直机关培训费管理办法》等其他有关法律法规，制定本办法。</w:t>
      </w:r>
    </w:p>
    <w:p>
      <w:pPr>
        <w:pStyle w:val="5"/>
        <w:shd w:val="clear" w:color="auto" w:fill="FFFFFF"/>
        <w:spacing w:before="225" w:beforeAutospacing="0" w:after="0" w:afterAutospacing="0" w:line="450" w:lineRule="atLeast"/>
        <w:ind w:firstLine="560" w:firstLineChars="200"/>
        <w:rPr>
          <w:color w:val="333333"/>
          <w:sz w:val="28"/>
          <w:szCs w:val="28"/>
        </w:rPr>
      </w:pPr>
      <w:r>
        <w:rPr>
          <w:rFonts w:hint="eastAsia"/>
          <w:color w:val="333333"/>
          <w:sz w:val="28"/>
          <w:szCs w:val="28"/>
        </w:rPr>
        <w:t>第二条  本办法所称培训，是指</w:t>
      </w:r>
      <w:r>
        <w:rPr>
          <w:rFonts w:hint="eastAsia"/>
          <w:color w:val="333333"/>
          <w:sz w:val="28"/>
          <w:szCs w:val="28"/>
          <w:lang w:eastAsia="zh-CN"/>
        </w:rPr>
        <w:t>医院各部门</w:t>
      </w:r>
      <w:r>
        <w:rPr>
          <w:rFonts w:hint="eastAsia"/>
          <w:color w:val="333333"/>
          <w:sz w:val="28"/>
          <w:szCs w:val="28"/>
        </w:rPr>
        <w:t>使用医院资金在境内举办的</w:t>
      </w:r>
      <w:r>
        <w:rPr>
          <w:rFonts w:hint="eastAsia"/>
          <w:sz w:val="28"/>
          <w:szCs w:val="28"/>
        </w:rPr>
        <w:t>三个月</w:t>
      </w:r>
      <w:r>
        <w:rPr>
          <w:rFonts w:hint="eastAsia"/>
          <w:color w:val="333333"/>
          <w:sz w:val="28"/>
          <w:szCs w:val="28"/>
        </w:rPr>
        <w:t>以内的各类培训。</w:t>
      </w:r>
    </w:p>
    <w:p>
      <w:pPr>
        <w:pStyle w:val="5"/>
        <w:shd w:val="clear" w:color="auto" w:fill="FFFFFF"/>
        <w:spacing w:before="225" w:beforeAutospacing="0" w:after="0" w:afterAutospacing="0" w:line="450" w:lineRule="atLeast"/>
        <w:ind w:firstLine="560" w:firstLineChars="200"/>
        <w:rPr>
          <w:color w:val="333333"/>
          <w:sz w:val="28"/>
          <w:szCs w:val="28"/>
        </w:rPr>
      </w:pPr>
      <w:r>
        <w:rPr>
          <w:rFonts w:hint="eastAsia"/>
          <w:color w:val="333333"/>
          <w:sz w:val="28"/>
          <w:szCs w:val="28"/>
        </w:rPr>
        <w:t>第三条  各</w:t>
      </w:r>
      <w:r>
        <w:rPr>
          <w:rFonts w:hint="eastAsia"/>
          <w:color w:val="333333"/>
          <w:sz w:val="28"/>
          <w:szCs w:val="28"/>
          <w:lang w:eastAsia="zh-CN"/>
        </w:rPr>
        <w:t>部门</w:t>
      </w:r>
      <w:r>
        <w:rPr>
          <w:rFonts w:hint="eastAsia"/>
          <w:color w:val="333333"/>
          <w:sz w:val="28"/>
          <w:szCs w:val="28"/>
        </w:rPr>
        <w:t>举办培训应当坚持厉行节约、反对浪费的原则，增强培训计划的科学性和严肃性，增强培训项目的针对性和实效性，保证培训质量，节约培训资源，提高培训经费使用效益。</w:t>
      </w:r>
    </w:p>
    <w:p>
      <w:pPr>
        <w:pStyle w:val="5"/>
        <w:shd w:val="clear" w:color="auto" w:fill="FFFFFF"/>
        <w:spacing w:before="225" w:beforeAutospacing="0" w:after="0" w:afterAutospacing="0" w:line="450" w:lineRule="atLeast"/>
        <w:jc w:val="center"/>
        <w:rPr>
          <w:b/>
          <w:color w:val="333333"/>
          <w:sz w:val="28"/>
          <w:szCs w:val="28"/>
        </w:rPr>
      </w:pPr>
      <w:r>
        <w:rPr>
          <w:rFonts w:hint="eastAsia"/>
          <w:b/>
          <w:color w:val="333333"/>
          <w:sz w:val="28"/>
          <w:szCs w:val="28"/>
        </w:rPr>
        <w:t>第二章 计划和备案管理</w:t>
      </w:r>
    </w:p>
    <w:p>
      <w:pPr>
        <w:ind w:firstLine="560" w:firstLineChars="200"/>
        <w:jc w:val="left"/>
        <w:rPr>
          <w:rFonts w:hint="eastAsia"/>
          <w:color w:val="333333"/>
          <w:sz w:val="28"/>
          <w:szCs w:val="28"/>
          <w:lang w:eastAsia="zh-CN"/>
        </w:rPr>
      </w:pPr>
      <w:r>
        <w:rPr>
          <w:rFonts w:hint="eastAsia"/>
          <w:color w:val="333333"/>
          <w:sz w:val="28"/>
          <w:szCs w:val="28"/>
        </w:rPr>
        <w:t>第</w:t>
      </w:r>
      <w:r>
        <w:rPr>
          <w:rFonts w:hint="eastAsia"/>
          <w:color w:val="333333"/>
          <w:sz w:val="28"/>
          <w:szCs w:val="28"/>
          <w:lang w:eastAsia="zh-CN"/>
        </w:rPr>
        <w:t>四</w:t>
      </w:r>
      <w:r>
        <w:rPr>
          <w:rFonts w:hint="eastAsia"/>
          <w:color w:val="333333"/>
          <w:sz w:val="28"/>
          <w:szCs w:val="28"/>
        </w:rPr>
        <w:t>条  建立培训计划编报和审批制度。各</w:t>
      </w:r>
      <w:r>
        <w:rPr>
          <w:rFonts w:hint="eastAsia"/>
          <w:color w:val="333333"/>
          <w:sz w:val="28"/>
          <w:szCs w:val="28"/>
          <w:lang w:eastAsia="zh-CN"/>
        </w:rPr>
        <w:t>有关部门负责</w:t>
      </w:r>
      <w:r>
        <w:rPr>
          <w:rFonts w:hint="eastAsia"/>
          <w:color w:val="333333"/>
          <w:sz w:val="28"/>
          <w:szCs w:val="28"/>
        </w:rPr>
        <w:t>制订</w:t>
      </w:r>
      <w:r>
        <w:rPr>
          <w:rFonts w:hint="eastAsia"/>
          <w:color w:val="333333"/>
          <w:sz w:val="28"/>
          <w:szCs w:val="28"/>
          <w:lang w:eastAsia="zh-CN"/>
        </w:rPr>
        <w:t>本部门的</w:t>
      </w:r>
      <w:r>
        <w:rPr>
          <w:rFonts w:hint="eastAsia"/>
          <w:color w:val="333333"/>
          <w:sz w:val="28"/>
          <w:szCs w:val="28"/>
        </w:rPr>
        <w:t>年度培训计划</w:t>
      </w:r>
      <w:r>
        <w:rPr>
          <w:rFonts w:hint="eastAsia"/>
          <w:color w:val="333333"/>
          <w:sz w:val="28"/>
          <w:szCs w:val="28"/>
          <w:lang w:eastAsia="zh-CN"/>
        </w:rPr>
        <w:t>（</w:t>
      </w:r>
      <w:r>
        <w:rPr>
          <w:rFonts w:hint="eastAsia"/>
          <w:color w:val="333333"/>
          <w:sz w:val="28"/>
          <w:szCs w:val="28"/>
        </w:rPr>
        <w:t>包括培训名称、目的、对象、内容、时间、地点、参训人数、所需经费及列支渠道等），</w:t>
      </w:r>
      <w:r>
        <w:rPr>
          <w:rFonts w:hint="eastAsia"/>
          <w:color w:val="333333"/>
          <w:sz w:val="28"/>
          <w:szCs w:val="28"/>
          <w:lang w:eastAsia="zh-CN"/>
        </w:rPr>
        <w:t>主管院领导和财务部门审核后，报院长办公会议或党委会研究批准后，纳入年度预算。</w:t>
      </w:r>
    </w:p>
    <w:p>
      <w:pPr>
        <w:ind w:firstLine="560" w:firstLineChars="200"/>
        <w:jc w:val="left"/>
        <w:rPr>
          <w:rFonts w:hint="default"/>
          <w:color w:val="333333"/>
          <w:sz w:val="28"/>
          <w:szCs w:val="28"/>
          <w:lang w:val="en-US" w:eastAsia="zh-CN"/>
        </w:rPr>
      </w:pPr>
      <w:r>
        <w:rPr>
          <w:rFonts w:hint="eastAsia"/>
          <w:color w:val="333333"/>
          <w:sz w:val="28"/>
          <w:szCs w:val="28"/>
          <w:lang w:eastAsia="zh-CN"/>
        </w:rPr>
        <w:t>各部门下年度培训计划于每年</w:t>
      </w:r>
      <w:r>
        <w:rPr>
          <w:rFonts w:hint="eastAsia"/>
          <w:color w:val="333333"/>
          <w:sz w:val="28"/>
          <w:szCs w:val="28"/>
          <w:lang w:val="en-US" w:eastAsia="zh-CN"/>
        </w:rPr>
        <w:t>8月25日前，报医院预算管理委员会备案。</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第</w:t>
      </w:r>
      <w:r>
        <w:rPr>
          <w:rFonts w:hint="eastAsia"/>
          <w:color w:val="333333"/>
          <w:sz w:val="28"/>
          <w:szCs w:val="28"/>
          <w:lang w:eastAsia="zh-CN"/>
        </w:rPr>
        <w:t>五</w:t>
      </w:r>
      <w:r>
        <w:rPr>
          <w:rFonts w:hint="eastAsia"/>
          <w:color w:val="333333"/>
          <w:sz w:val="28"/>
          <w:szCs w:val="28"/>
        </w:rPr>
        <w:t>条  年度培训计划一经批准，原则上不得调整。</w:t>
      </w:r>
      <w:r>
        <w:rPr>
          <w:rFonts w:hint="eastAsia"/>
          <w:color w:val="333333"/>
          <w:sz w:val="28"/>
          <w:szCs w:val="28"/>
          <w:lang w:eastAsia="zh-CN"/>
        </w:rPr>
        <w:t>确</w:t>
      </w:r>
      <w:r>
        <w:rPr>
          <w:rFonts w:hint="eastAsia"/>
          <w:color w:val="333333"/>
          <w:sz w:val="28"/>
          <w:szCs w:val="28"/>
        </w:rPr>
        <w:t>因工作需要临时增加培训项目的，</w:t>
      </w:r>
      <w:r>
        <w:rPr>
          <w:rFonts w:hint="eastAsia"/>
          <w:color w:val="333333"/>
          <w:sz w:val="28"/>
          <w:szCs w:val="28"/>
          <w:lang w:eastAsia="zh-CN"/>
        </w:rPr>
        <w:t>由院长负责审批，超过一万元的，由院长办公会或</w:t>
      </w:r>
      <w:r>
        <w:rPr>
          <w:rFonts w:hint="eastAsia"/>
          <w:color w:val="333333"/>
          <w:sz w:val="28"/>
          <w:szCs w:val="28"/>
        </w:rPr>
        <w:t>党委会</w:t>
      </w:r>
      <w:r>
        <w:rPr>
          <w:rFonts w:hint="eastAsia"/>
          <w:color w:val="333333"/>
          <w:sz w:val="28"/>
          <w:szCs w:val="28"/>
          <w:lang w:eastAsia="zh-CN"/>
        </w:rPr>
        <w:t>研究批准。</w:t>
      </w:r>
    </w:p>
    <w:p>
      <w:pPr>
        <w:pStyle w:val="5"/>
        <w:shd w:val="clear" w:color="auto" w:fill="FFFFFF"/>
        <w:spacing w:before="225" w:beforeAutospacing="0" w:after="0" w:afterAutospacing="0" w:line="450" w:lineRule="atLeast"/>
        <w:jc w:val="center"/>
        <w:rPr>
          <w:b/>
          <w:color w:val="333333"/>
          <w:sz w:val="28"/>
          <w:szCs w:val="28"/>
        </w:rPr>
      </w:pPr>
      <w:r>
        <w:rPr>
          <w:rFonts w:hint="eastAsia"/>
          <w:b/>
          <w:color w:val="333333"/>
          <w:sz w:val="28"/>
          <w:szCs w:val="28"/>
        </w:rPr>
        <w:t>第三章 开支范围和标准</w:t>
      </w:r>
    </w:p>
    <w:p>
      <w:pPr>
        <w:pStyle w:val="5"/>
        <w:shd w:val="clear" w:color="auto" w:fill="FFFFFF"/>
        <w:spacing w:before="225" w:beforeAutospacing="0" w:after="0" w:afterAutospacing="0" w:line="450" w:lineRule="atLeast"/>
        <w:ind w:firstLine="480"/>
        <w:rPr>
          <w:rFonts w:hint="eastAsia"/>
          <w:color w:val="333333"/>
          <w:sz w:val="28"/>
          <w:szCs w:val="28"/>
        </w:rPr>
      </w:pPr>
      <w:r>
        <w:rPr>
          <w:rFonts w:hint="eastAsia"/>
          <w:color w:val="333333"/>
          <w:sz w:val="28"/>
          <w:szCs w:val="28"/>
        </w:rPr>
        <w:t>第</w:t>
      </w:r>
      <w:r>
        <w:rPr>
          <w:rFonts w:hint="eastAsia"/>
          <w:color w:val="333333"/>
          <w:sz w:val="28"/>
          <w:szCs w:val="28"/>
          <w:lang w:eastAsia="zh-CN"/>
        </w:rPr>
        <w:t>六</w:t>
      </w:r>
      <w:r>
        <w:rPr>
          <w:rFonts w:hint="eastAsia"/>
          <w:color w:val="333333"/>
          <w:sz w:val="28"/>
          <w:szCs w:val="28"/>
        </w:rPr>
        <w:t>条  本办法所称培训费，是指各单位开展培训直接发生的各项费用支出，包括师资费、住宿费、伙食费、培训场地费、培训资料费、交通费以及其他费用。</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（一）师资费是指聘请师资授课发生的费用，包括授课老师讲课费、住宿费、伙食费、城市间交通费等。</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（二）住宿费是指参训人员及工作人员培训期间发生的租住房间的费用。</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（三）伙食费是指参训人员及工作人员培训期间发生的用餐费用。</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（四）培训场地费是指用于培训的会议室或教室租金。</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（五）培训资料费是指培训期间必要的资料及办公用品费。</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（六）交通费是指用于培训所需的人员接送以及与培训有关的考察、调研等发生的交通支出。</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（七）其他费用是指现场教学费、设备租赁费、文体活动费、医药费等与培训有关的其他支出。</w:t>
      </w:r>
    </w:p>
    <w:p>
      <w:pPr>
        <w:keepNext w:val="0"/>
        <w:keepLines w:val="0"/>
        <w:widowControl w:val="0"/>
        <w:suppressLineNumbers w:val="0"/>
        <w:spacing w:before="0" w:beforeAutospacing="0" w:after="0" w:afterAutospacing="0"/>
        <w:ind w:left="0" w:right="0" w:firstLine="560" w:firstLineChars="200"/>
        <w:jc w:val="both"/>
        <w:rPr>
          <w:color w:val="333333"/>
          <w:sz w:val="28"/>
          <w:szCs w:val="28"/>
        </w:rPr>
      </w:pPr>
      <w:r>
        <w:rPr>
          <w:rFonts w:hint="eastAsia"/>
          <w:color w:val="333333"/>
          <w:sz w:val="28"/>
          <w:szCs w:val="28"/>
        </w:rPr>
        <w:t>参训人员参加培训往返城市间交通费，按照《</w:t>
      </w:r>
      <w:r>
        <w:rPr>
          <w:rFonts w:hint="eastAsia"/>
          <w:color w:val="333333"/>
          <w:sz w:val="28"/>
          <w:szCs w:val="28"/>
          <w:lang w:eastAsia="zh-CN"/>
        </w:rPr>
        <w:t>河南省省直机关差旅费管理办法</w:t>
      </w:r>
      <w:r>
        <w:rPr>
          <w:rFonts w:hint="eastAsia" w:ascii="宋体" w:hAnsi="宋体" w:eastAsia="宋体" w:cs="宋体"/>
          <w:color w:val="333333"/>
          <w:sz w:val="28"/>
          <w:szCs w:val="28"/>
        </w:rPr>
        <w:t>》</w:t>
      </w:r>
      <w:r>
        <w:rPr>
          <w:rFonts w:hint="eastAsia" w:ascii="宋体" w:hAnsi="宋体" w:eastAsia="宋体" w:cs="宋体"/>
          <w:kern w:val="2"/>
          <w:sz w:val="28"/>
          <w:szCs w:val="28"/>
          <w:lang w:val="en-US" w:eastAsia="zh-CN" w:bidi="ar"/>
        </w:rPr>
        <w:t>（豫财行[2016]109号</w:t>
      </w:r>
      <w:r>
        <w:rPr>
          <w:rFonts w:hint="eastAsia"/>
          <w:color w:val="333333"/>
          <w:sz w:val="28"/>
          <w:szCs w:val="28"/>
          <w:lang w:eastAsia="zh-CN"/>
        </w:rPr>
        <w:t>）的有关规定</w:t>
      </w:r>
      <w:r>
        <w:rPr>
          <w:rFonts w:hint="eastAsia"/>
          <w:color w:val="333333"/>
          <w:sz w:val="28"/>
          <w:szCs w:val="28"/>
        </w:rPr>
        <w:t>回</w:t>
      </w:r>
      <w:r>
        <w:rPr>
          <w:rFonts w:hint="eastAsia"/>
          <w:color w:val="333333"/>
          <w:sz w:val="28"/>
          <w:szCs w:val="28"/>
          <w:lang w:eastAsia="zh-CN"/>
        </w:rPr>
        <w:t>本</w:t>
      </w:r>
      <w:r>
        <w:rPr>
          <w:rFonts w:hint="eastAsia"/>
          <w:color w:val="333333"/>
          <w:sz w:val="28"/>
          <w:szCs w:val="28"/>
        </w:rPr>
        <w:t>单位报销。</w:t>
      </w:r>
    </w:p>
    <w:p>
      <w:pPr>
        <w:pStyle w:val="5"/>
        <w:shd w:val="clear" w:color="auto" w:fill="FFFFFF"/>
        <w:spacing w:before="225" w:beforeAutospacing="0" w:after="0" w:afterAutospacing="0" w:line="450" w:lineRule="atLeast"/>
        <w:ind w:firstLine="480"/>
        <w:rPr>
          <w:rFonts w:hint="eastAsia"/>
          <w:color w:val="333333"/>
          <w:sz w:val="28"/>
          <w:szCs w:val="28"/>
        </w:rPr>
      </w:pPr>
      <w:r>
        <w:rPr>
          <w:rFonts w:hint="eastAsia"/>
          <w:color w:val="333333"/>
          <w:sz w:val="28"/>
          <w:szCs w:val="28"/>
        </w:rPr>
        <w:t>第</w:t>
      </w:r>
      <w:r>
        <w:rPr>
          <w:rFonts w:hint="eastAsia"/>
          <w:color w:val="333333"/>
          <w:sz w:val="28"/>
          <w:szCs w:val="28"/>
          <w:lang w:eastAsia="zh-CN"/>
        </w:rPr>
        <w:t>六</w:t>
      </w:r>
      <w:r>
        <w:rPr>
          <w:rFonts w:hint="eastAsia"/>
          <w:color w:val="333333"/>
          <w:sz w:val="28"/>
          <w:szCs w:val="28"/>
        </w:rPr>
        <w:t>条  除师资费外，培训费实行分类综合定额标准，分项核定、总额控制，各项费用之间可以调剂使用。综合定额标准如下：</w:t>
      </w:r>
    </w:p>
    <w:p>
      <w:pPr>
        <w:keepNext w:val="0"/>
        <w:keepLines w:val="0"/>
        <w:widowControl w:val="0"/>
        <w:suppressLineNumbers w:val="0"/>
        <w:spacing w:before="0" w:beforeAutospacing="0" w:after="0" w:afterAutospacing="0"/>
        <w:ind w:left="0" w:right="0" w:firstLine="5600" w:firstLineChars="2000"/>
        <w:jc w:val="both"/>
        <w:rPr>
          <w:rFonts w:hint="eastAsia" w:ascii="Times New Roman" w:hAnsi="Times New Roman" w:eastAsia="宋体" w:cs="宋体"/>
          <w:kern w:val="2"/>
          <w:sz w:val="28"/>
          <w:szCs w:val="28"/>
          <w:lang w:val="en-US" w:eastAsia="zh-CN" w:bidi="ar"/>
        </w:rPr>
      </w:pPr>
      <w:r>
        <w:rPr>
          <w:rFonts w:hint="eastAsia" w:ascii="Times New Roman" w:hAnsi="Times New Roman" w:eastAsia="宋体" w:cs="宋体"/>
          <w:kern w:val="2"/>
          <w:sz w:val="28"/>
          <w:szCs w:val="28"/>
          <w:lang w:val="en-US" w:eastAsia="zh-CN" w:bidi="ar"/>
        </w:rPr>
        <w:t>单位：元／人天</w:t>
      </w:r>
    </w:p>
    <w:tbl>
      <w:tblPr>
        <w:tblStyle w:val="7"/>
        <w:tblW w:w="8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079"/>
        <w:gridCol w:w="1110"/>
        <w:gridCol w:w="2685"/>
        <w:gridCol w:w="151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pStyle w:val="5"/>
              <w:spacing w:before="225" w:beforeAutospacing="0" w:after="0" w:afterAutospacing="0" w:line="450" w:lineRule="atLeast"/>
              <w:jc w:val="center"/>
              <w:rPr>
                <w:rFonts w:hint="eastAsia"/>
                <w:color w:val="auto"/>
                <w:sz w:val="28"/>
                <w:szCs w:val="28"/>
                <w:vertAlign w:val="baseline"/>
                <w:lang w:val="en-US" w:eastAsia="zh-CN"/>
              </w:rPr>
            </w:pPr>
            <w:r>
              <w:rPr>
                <w:rFonts w:hint="eastAsia"/>
                <w:color w:val="auto"/>
                <w:sz w:val="28"/>
                <w:szCs w:val="28"/>
                <w:vertAlign w:val="baseline"/>
                <w:lang w:val="en-US" w:eastAsia="zh-CN"/>
              </w:rPr>
              <w:t>培训类别</w:t>
            </w:r>
          </w:p>
        </w:tc>
        <w:tc>
          <w:tcPr>
            <w:tcW w:w="1079" w:type="dxa"/>
          </w:tcPr>
          <w:p>
            <w:pPr>
              <w:pStyle w:val="5"/>
              <w:spacing w:before="225" w:beforeAutospacing="0" w:after="0" w:afterAutospacing="0" w:line="450" w:lineRule="atLeast"/>
              <w:rPr>
                <w:rFonts w:hint="eastAsia"/>
                <w:color w:val="auto"/>
                <w:sz w:val="28"/>
                <w:szCs w:val="28"/>
                <w:vertAlign w:val="baseline"/>
                <w:lang w:val="en-US" w:eastAsia="zh-CN"/>
              </w:rPr>
            </w:pPr>
            <w:r>
              <w:rPr>
                <w:rFonts w:hint="eastAsia"/>
                <w:color w:val="auto"/>
                <w:sz w:val="28"/>
                <w:szCs w:val="28"/>
                <w:vertAlign w:val="baseline"/>
                <w:lang w:val="en-US" w:eastAsia="zh-CN"/>
              </w:rPr>
              <w:t>住宿费</w:t>
            </w:r>
          </w:p>
        </w:tc>
        <w:tc>
          <w:tcPr>
            <w:tcW w:w="1110" w:type="dxa"/>
          </w:tcPr>
          <w:p>
            <w:pPr>
              <w:pStyle w:val="5"/>
              <w:spacing w:before="225" w:beforeAutospacing="0" w:after="0" w:afterAutospacing="0" w:line="450" w:lineRule="atLeast"/>
              <w:rPr>
                <w:rFonts w:hint="eastAsia"/>
                <w:color w:val="auto"/>
                <w:sz w:val="28"/>
                <w:szCs w:val="28"/>
                <w:vertAlign w:val="baseline"/>
                <w:lang w:val="en-US" w:eastAsia="zh-CN"/>
              </w:rPr>
            </w:pPr>
            <w:r>
              <w:rPr>
                <w:rFonts w:hint="eastAsia"/>
                <w:color w:val="auto"/>
                <w:sz w:val="28"/>
                <w:szCs w:val="28"/>
                <w:vertAlign w:val="baseline"/>
                <w:lang w:val="en-US" w:eastAsia="zh-CN"/>
              </w:rPr>
              <w:t>伙食费</w:t>
            </w:r>
          </w:p>
        </w:tc>
        <w:tc>
          <w:tcPr>
            <w:tcW w:w="2685" w:type="dxa"/>
          </w:tcPr>
          <w:p>
            <w:pPr>
              <w:pStyle w:val="5"/>
              <w:spacing w:before="225" w:beforeAutospacing="0" w:after="0" w:afterAutospacing="0" w:line="450" w:lineRule="atLeast"/>
              <w:rPr>
                <w:rFonts w:hint="eastAsia" w:eastAsia="宋体"/>
                <w:color w:val="auto"/>
                <w:sz w:val="28"/>
                <w:szCs w:val="28"/>
                <w:vertAlign w:val="baseline"/>
                <w:lang w:val="en-US" w:eastAsia="zh-CN"/>
              </w:rPr>
            </w:pPr>
            <w:r>
              <w:rPr>
                <w:rFonts w:hint="eastAsia"/>
                <w:color w:val="auto"/>
                <w:sz w:val="28"/>
                <w:szCs w:val="28"/>
                <w:vertAlign w:val="baseline"/>
                <w:lang w:val="en-US" w:eastAsia="zh-CN"/>
              </w:rPr>
              <w:t>场地、资料、交通费</w:t>
            </w:r>
          </w:p>
        </w:tc>
        <w:tc>
          <w:tcPr>
            <w:tcW w:w="1515" w:type="dxa"/>
          </w:tcPr>
          <w:p>
            <w:pPr>
              <w:pStyle w:val="5"/>
              <w:spacing w:before="225" w:beforeAutospacing="0" w:after="0" w:afterAutospacing="0" w:line="450" w:lineRule="atLeast"/>
              <w:rPr>
                <w:rFonts w:hint="eastAsia" w:eastAsia="宋体"/>
                <w:color w:val="auto"/>
                <w:sz w:val="28"/>
                <w:szCs w:val="28"/>
                <w:vertAlign w:val="baseline"/>
                <w:lang w:val="en-US" w:eastAsia="zh-CN"/>
              </w:rPr>
            </w:pPr>
            <w:r>
              <w:rPr>
                <w:rFonts w:hint="eastAsia"/>
                <w:color w:val="auto"/>
                <w:sz w:val="28"/>
                <w:szCs w:val="28"/>
                <w:vertAlign w:val="baseline"/>
                <w:lang w:val="en-US" w:eastAsia="zh-CN"/>
              </w:rPr>
              <w:t>其他费用</w:t>
            </w:r>
          </w:p>
        </w:tc>
        <w:tc>
          <w:tcPr>
            <w:tcW w:w="945" w:type="dxa"/>
          </w:tcPr>
          <w:p>
            <w:pPr>
              <w:pStyle w:val="5"/>
              <w:spacing w:before="225" w:beforeAutospacing="0" w:after="0" w:afterAutospacing="0" w:line="450" w:lineRule="atLeast"/>
              <w:rPr>
                <w:rFonts w:hint="eastAsia" w:eastAsia="宋体"/>
                <w:color w:val="auto"/>
                <w:sz w:val="28"/>
                <w:szCs w:val="28"/>
                <w:vertAlign w:val="baseline"/>
                <w:lang w:val="en-US" w:eastAsia="zh-CN"/>
              </w:rPr>
            </w:pPr>
            <w:r>
              <w:rPr>
                <w:rFonts w:hint="eastAsia"/>
                <w:color w:val="auto"/>
                <w:sz w:val="28"/>
                <w:szCs w:val="28"/>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pStyle w:val="5"/>
              <w:spacing w:before="225" w:beforeAutospacing="0" w:after="0" w:afterAutospacing="0" w:line="450" w:lineRule="atLeast"/>
              <w:jc w:val="center"/>
              <w:rPr>
                <w:rFonts w:hint="eastAsia" w:eastAsia="宋体"/>
                <w:color w:val="auto"/>
                <w:sz w:val="28"/>
                <w:szCs w:val="28"/>
                <w:vertAlign w:val="baseline"/>
                <w:lang w:val="en-US" w:eastAsia="zh-CN"/>
              </w:rPr>
            </w:pPr>
            <w:r>
              <w:rPr>
                <w:rFonts w:hint="eastAsia"/>
                <w:color w:val="auto"/>
                <w:sz w:val="28"/>
                <w:szCs w:val="28"/>
                <w:vertAlign w:val="baseline"/>
                <w:lang w:val="en-US" w:eastAsia="zh-CN"/>
              </w:rPr>
              <w:t>一类培训</w:t>
            </w:r>
          </w:p>
        </w:tc>
        <w:tc>
          <w:tcPr>
            <w:tcW w:w="1079" w:type="dxa"/>
          </w:tcPr>
          <w:p>
            <w:pPr>
              <w:pStyle w:val="5"/>
              <w:spacing w:before="225" w:beforeAutospacing="0" w:after="0" w:afterAutospacing="0" w:line="450" w:lineRule="atLeast"/>
              <w:jc w:val="center"/>
              <w:rPr>
                <w:rFonts w:hint="default"/>
                <w:color w:val="auto"/>
                <w:sz w:val="28"/>
                <w:szCs w:val="28"/>
                <w:vertAlign w:val="baseline"/>
                <w:lang w:val="en-US" w:eastAsia="zh-CN"/>
              </w:rPr>
            </w:pPr>
            <w:r>
              <w:rPr>
                <w:rFonts w:hint="eastAsia"/>
                <w:color w:val="auto"/>
                <w:sz w:val="28"/>
                <w:szCs w:val="28"/>
                <w:vertAlign w:val="baseline"/>
                <w:lang w:val="en-US" w:eastAsia="zh-CN"/>
              </w:rPr>
              <w:t>330</w:t>
            </w:r>
          </w:p>
        </w:tc>
        <w:tc>
          <w:tcPr>
            <w:tcW w:w="1110" w:type="dxa"/>
          </w:tcPr>
          <w:p>
            <w:pPr>
              <w:pStyle w:val="5"/>
              <w:spacing w:before="225" w:beforeAutospacing="0" w:after="0" w:afterAutospacing="0" w:line="450" w:lineRule="atLeast"/>
              <w:jc w:val="center"/>
              <w:rPr>
                <w:rFonts w:hint="default"/>
                <w:color w:val="auto"/>
                <w:sz w:val="28"/>
                <w:szCs w:val="28"/>
                <w:vertAlign w:val="baseline"/>
                <w:lang w:val="en-US" w:eastAsia="zh-CN"/>
              </w:rPr>
            </w:pPr>
            <w:r>
              <w:rPr>
                <w:rFonts w:hint="eastAsia"/>
                <w:color w:val="auto"/>
                <w:sz w:val="28"/>
                <w:szCs w:val="28"/>
                <w:vertAlign w:val="baseline"/>
                <w:lang w:val="en-US" w:eastAsia="zh-CN"/>
              </w:rPr>
              <w:t>140</w:t>
            </w:r>
          </w:p>
        </w:tc>
        <w:tc>
          <w:tcPr>
            <w:tcW w:w="2685" w:type="dxa"/>
          </w:tcPr>
          <w:p>
            <w:pPr>
              <w:pStyle w:val="5"/>
              <w:spacing w:before="225" w:beforeAutospacing="0" w:after="0" w:afterAutospacing="0" w:line="450" w:lineRule="atLeast"/>
              <w:jc w:val="center"/>
              <w:rPr>
                <w:rFonts w:hint="default"/>
                <w:color w:val="auto"/>
                <w:sz w:val="28"/>
                <w:szCs w:val="28"/>
                <w:vertAlign w:val="baseline"/>
                <w:lang w:val="en-US" w:eastAsia="zh-CN"/>
              </w:rPr>
            </w:pPr>
            <w:r>
              <w:rPr>
                <w:rFonts w:hint="eastAsia"/>
                <w:color w:val="auto"/>
                <w:sz w:val="28"/>
                <w:szCs w:val="28"/>
                <w:vertAlign w:val="baseline"/>
                <w:lang w:val="en-US" w:eastAsia="zh-CN"/>
              </w:rPr>
              <w:t>90</w:t>
            </w:r>
          </w:p>
        </w:tc>
        <w:tc>
          <w:tcPr>
            <w:tcW w:w="1515" w:type="dxa"/>
          </w:tcPr>
          <w:p>
            <w:pPr>
              <w:pStyle w:val="5"/>
              <w:spacing w:before="225" w:beforeAutospacing="0" w:after="0" w:afterAutospacing="0" w:line="450" w:lineRule="atLeast"/>
              <w:jc w:val="center"/>
              <w:rPr>
                <w:rFonts w:hint="default"/>
                <w:color w:val="auto"/>
                <w:sz w:val="28"/>
                <w:szCs w:val="28"/>
                <w:vertAlign w:val="baseline"/>
                <w:lang w:val="en-US" w:eastAsia="zh-CN"/>
              </w:rPr>
            </w:pPr>
            <w:r>
              <w:rPr>
                <w:rFonts w:hint="eastAsia"/>
                <w:color w:val="auto"/>
                <w:sz w:val="28"/>
                <w:szCs w:val="28"/>
                <w:vertAlign w:val="baseline"/>
                <w:lang w:val="en-US" w:eastAsia="zh-CN"/>
              </w:rPr>
              <w:t>40</w:t>
            </w:r>
          </w:p>
        </w:tc>
        <w:tc>
          <w:tcPr>
            <w:tcW w:w="945" w:type="dxa"/>
          </w:tcPr>
          <w:p>
            <w:pPr>
              <w:pStyle w:val="5"/>
              <w:spacing w:before="225" w:beforeAutospacing="0" w:after="0" w:afterAutospacing="0" w:line="450" w:lineRule="atLeast"/>
              <w:jc w:val="center"/>
              <w:rPr>
                <w:rFonts w:hint="default"/>
                <w:color w:val="auto"/>
                <w:sz w:val="28"/>
                <w:szCs w:val="28"/>
                <w:vertAlign w:val="baseline"/>
                <w:lang w:val="en-US" w:eastAsia="zh-CN"/>
              </w:rPr>
            </w:pPr>
            <w:r>
              <w:rPr>
                <w:rFonts w:hint="eastAsia"/>
                <w:color w:val="auto"/>
                <w:sz w:val="28"/>
                <w:szCs w:val="28"/>
                <w:vertAlign w:val="baseline"/>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pStyle w:val="5"/>
              <w:spacing w:before="225" w:beforeAutospacing="0" w:after="0" w:afterAutospacing="0" w:line="450" w:lineRule="atLeast"/>
              <w:jc w:val="center"/>
              <w:rPr>
                <w:rFonts w:hint="eastAsia"/>
                <w:color w:val="auto"/>
                <w:sz w:val="28"/>
                <w:szCs w:val="28"/>
                <w:vertAlign w:val="baseline"/>
                <w:lang w:val="en-US" w:eastAsia="zh-CN"/>
              </w:rPr>
            </w:pPr>
            <w:r>
              <w:rPr>
                <w:rFonts w:hint="eastAsia"/>
                <w:color w:val="auto"/>
                <w:sz w:val="28"/>
                <w:szCs w:val="28"/>
                <w:vertAlign w:val="baseline"/>
                <w:lang w:val="en-US" w:eastAsia="zh-CN"/>
              </w:rPr>
              <w:t>二类培训</w:t>
            </w:r>
          </w:p>
        </w:tc>
        <w:tc>
          <w:tcPr>
            <w:tcW w:w="1079" w:type="dxa"/>
          </w:tcPr>
          <w:p>
            <w:pPr>
              <w:pStyle w:val="5"/>
              <w:spacing w:before="225" w:beforeAutospacing="0" w:after="0" w:afterAutospacing="0" w:line="450" w:lineRule="atLeast"/>
              <w:jc w:val="center"/>
              <w:rPr>
                <w:rFonts w:hint="default"/>
                <w:color w:val="auto"/>
                <w:sz w:val="28"/>
                <w:szCs w:val="28"/>
                <w:vertAlign w:val="baseline"/>
                <w:lang w:val="en-US" w:eastAsia="zh-CN"/>
              </w:rPr>
            </w:pPr>
            <w:r>
              <w:rPr>
                <w:rFonts w:hint="eastAsia"/>
                <w:color w:val="auto"/>
                <w:sz w:val="28"/>
                <w:szCs w:val="28"/>
                <w:vertAlign w:val="baseline"/>
                <w:lang w:val="en-US" w:eastAsia="zh-CN"/>
              </w:rPr>
              <w:t>330</w:t>
            </w:r>
          </w:p>
        </w:tc>
        <w:tc>
          <w:tcPr>
            <w:tcW w:w="1110" w:type="dxa"/>
          </w:tcPr>
          <w:p>
            <w:pPr>
              <w:pStyle w:val="5"/>
              <w:spacing w:before="225" w:beforeAutospacing="0" w:after="0" w:afterAutospacing="0" w:line="450" w:lineRule="atLeast"/>
              <w:jc w:val="center"/>
              <w:rPr>
                <w:rFonts w:hint="default"/>
                <w:color w:val="auto"/>
                <w:sz w:val="28"/>
                <w:szCs w:val="28"/>
                <w:vertAlign w:val="baseline"/>
                <w:lang w:val="en-US" w:eastAsia="zh-CN"/>
              </w:rPr>
            </w:pPr>
            <w:r>
              <w:rPr>
                <w:rFonts w:hint="eastAsia"/>
                <w:color w:val="auto"/>
                <w:sz w:val="28"/>
                <w:szCs w:val="28"/>
                <w:vertAlign w:val="baseline"/>
                <w:lang w:val="en-US" w:eastAsia="zh-CN"/>
              </w:rPr>
              <w:t>120</w:t>
            </w:r>
          </w:p>
        </w:tc>
        <w:tc>
          <w:tcPr>
            <w:tcW w:w="2685" w:type="dxa"/>
          </w:tcPr>
          <w:p>
            <w:pPr>
              <w:pStyle w:val="5"/>
              <w:spacing w:before="225" w:beforeAutospacing="0" w:after="0" w:afterAutospacing="0" w:line="450" w:lineRule="atLeast"/>
              <w:jc w:val="center"/>
              <w:rPr>
                <w:rFonts w:hint="default"/>
                <w:color w:val="auto"/>
                <w:sz w:val="28"/>
                <w:szCs w:val="28"/>
                <w:vertAlign w:val="baseline"/>
                <w:lang w:val="en-US" w:eastAsia="zh-CN"/>
              </w:rPr>
            </w:pPr>
            <w:r>
              <w:rPr>
                <w:rFonts w:hint="eastAsia"/>
                <w:color w:val="auto"/>
                <w:sz w:val="28"/>
                <w:szCs w:val="28"/>
                <w:vertAlign w:val="baseline"/>
                <w:lang w:val="en-US" w:eastAsia="zh-CN"/>
              </w:rPr>
              <w:t>70</w:t>
            </w:r>
          </w:p>
        </w:tc>
        <w:tc>
          <w:tcPr>
            <w:tcW w:w="1515" w:type="dxa"/>
          </w:tcPr>
          <w:p>
            <w:pPr>
              <w:pStyle w:val="5"/>
              <w:spacing w:before="225" w:beforeAutospacing="0" w:after="0" w:afterAutospacing="0" w:line="450" w:lineRule="atLeast"/>
              <w:jc w:val="center"/>
              <w:rPr>
                <w:rFonts w:hint="default"/>
                <w:color w:val="auto"/>
                <w:sz w:val="28"/>
                <w:szCs w:val="28"/>
                <w:vertAlign w:val="baseline"/>
                <w:lang w:val="en-US" w:eastAsia="zh-CN"/>
              </w:rPr>
            </w:pPr>
            <w:r>
              <w:rPr>
                <w:rFonts w:hint="eastAsia"/>
                <w:color w:val="auto"/>
                <w:sz w:val="28"/>
                <w:szCs w:val="28"/>
                <w:vertAlign w:val="baseline"/>
                <w:lang w:val="en-US" w:eastAsia="zh-CN"/>
              </w:rPr>
              <w:t>30</w:t>
            </w:r>
          </w:p>
        </w:tc>
        <w:tc>
          <w:tcPr>
            <w:tcW w:w="945" w:type="dxa"/>
          </w:tcPr>
          <w:p>
            <w:pPr>
              <w:pStyle w:val="5"/>
              <w:spacing w:before="225" w:beforeAutospacing="0" w:after="0" w:afterAutospacing="0" w:line="450" w:lineRule="atLeast"/>
              <w:jc w:val="center"/>
              <w:rPr>
                <w:rFonts w:hint="default"/>
                <w:color w:val="auto"/>
                <w:sz w:val="28"/>
                <w:szCs w:val="28"/>
                <w:vertAlign w:val="baseline"/>
                <w:lang w:val="en-US" w:eastAsia="zh-CN"/>
              </w:rPr>
            </w:pPr>
            <w:r>
              <w:rPr>
                <w:rFonts w:hint="eastAsia"/>
                <w:color w:val="auto"/>
                <w:sz w:val="28"/>
                <w:szCs w:val="28"/>
                <w:vertAlign w:val="baseline"/>
                <w:lang w:val="en-US" w:eastAsia="zh-CN"/>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pStyle w:val="5"/>
              <w:spacing w:before="225" w:beforeAutospacing="0" w:after="0" w:afterAutospacing="0" w:line="450" w:lineRule="atLeast"/>
              <w:jc w:val="center"/>
              <w:rPr>
                <w:rFonts w:hint="eastAsia" w:eastAsia="宋体"/>
                <w:color w:val="auto"/>
                <w:sz w:val="28"/>
                <w:szCs w:val="28"/>
                <w:vertAlign w:val="baseline"/>
                <w:lang w:val="en-US" w:eastAsia="zh-CN"/>
              </w:rPr>
            </w:pPr>
            <w:r>
              <w:rPr>
                <w:rFonts w:hint="eastAsia"/>
                <w:color w:val="auto"/>
                <w:sz w:val="28"/>
                <w:szCs w:val="28"/>
                <w:vertAlign w:val="baseline"/>
                <w:lang w:val="en-US" w:eastAsia="zh-CN"/>
              </w:rPr>
              <w:t>三类培训</w:t>
            </w:r>
          </w:p>
        </w:tc>
        <w:tc>
          <w:tcPr>
            <w:tcW w:w="1079" w:type="dxa"/>
          </w:tcPr>
          <w:p>
            <w:pPr>
              <w:pStyle w:val="5"/>
              <w:spacing w:before="225" w:beforeAutospacing="0" w:after="0" w:afterAutospacing="0" w:line="450" w:lineRule="atLeast"/>
              <w:jc w:val="center"/>
              <w:rPr>
                <w:rFonts w:hint="default"/>
                <w:color w:val="auto"/>
                <w:sz w:val="28"/>
                <w:szCs w:val="28"/>
                <w:vertAlign w:val="baseline"/>
                <w:lang w:val="en-US" w:eastAsia="zh-CN"/>
              </w:rPr>
            </w:pPr>
            <w:r>
              <w:rPr>
                <w:rFonts w:hint="eastAsia"/>
                <w:color w:val="auto"/>
                <w:sz w:val="28"/>
                <w:szCs w:val="28"/>
                <w:vertAlign w:val="baseline"/>
                <w:lang w:val="en-US" w:eastAsia="zh-CN"/>
              </w:rPr>
              <w:t>240</w:t>
            </w:r>
          </w:p>
        </w:tc>
        <w:tc>
          <w:tcPr>
            <w:tcW w:w="1110" w:type="dxa"/>
          </w:tcPr>
          <w:p>
            <w:pPr>
              <w:pStyle w:val="5"/>
              <w:spacing w:before="225" w:beforeAutospacing="0" w:after="0" w:afterAutospacing="0" w:line="450" w:lineRule="atLeast"/>
              <w:jc w:val="center"/>
              <w:rPr>
                <w:rFonts w:hint="default"/>
                <w:color w:val="auto"/>
                <w:sz w:val="28"/>
                <w:szCs w:val="28"/>
                <w:vertAlign w:val="baseline"/>
                <w:lang w:val="en-US" w:eastAsia="zh-CN"/>
              </w:rPr>
            </w:pPr>
            <w:r>
              <w:rPr>
                <w:rFonts w:hint="eastAsia"/>
                <w:color w:val="auto"/>
                <w:sz w:val="28"/>
                <w:szCs w:val="28"/>
                <w:vertAlign w:val="baseline"/>
                <w:lang w:val="en-US" w:eastAsia="zh-CN"/>
              </w:rPr>
              <w:t>110</w:t>
            </w:r>
          </w:p>
        </w:tc>
        <w:tc>
          <w:tcPr>
            <w:tcW w:w="2685" w:type="dxa"/>
          </w:tcPr>
          <w:p>
            <w:pPr>
              <w:pStyle w:val="5"/>
              <w:spacing w:before="225" w:beforeAutospacing="0" w:after="0" w:afterAutospacing="0" w:line="450" w:lineRule="atLeast"/>
              <w:jc w:val="center"/>
              <w:rPr>
                <w:rFonts w:hint="default"/>
                <w:color w:val="auto"/>
                <w:sz w:val="28"/>
                <w:szCs w:val="28"/>
                <w:vertAlign w:val="baseline"/>
                <w:lang w:val="en-US" w:eastAsia="zh-CN"/>
              </w:rPr>
            </w:pPr>
            <w:r>
              <w:rPr>
                <w:rFonts w:hint="eastAsia"/>
                <w:color w:val="auto"/>
                <w:sz w:val="28"/>
                <w:szCs w:val="28"/>
                <w:vertAlign w:val="baseline"/>
                <w:lang w:val="en-US" w:eastAsia="zh-CN"/>
              </w:rPr>
              <w:t>70</w:t>
            </w:r>
          </w:p>
        </w:tc>
        <w:tc>
          <w:tcPr>
            <w:tcW w:w="1515" w:type="dxa"/>
          </w:tcPr>
          <w:p>
            <w:pPr>
              <w:pStyle w:val="5"/>
              <w:spacing w:before="225" w:beforeAutospacing="0" w:after="0" w:afterAutospacing="0" w:line="450" w:lineRule="atLeast"/>
              <w:jc w:val="center"/>
              <w:rPr>
                <w:rFonts w:hint="default"/>
                <w:color w:val="auto"/>
                <w:sz w:val="28"/>
                <w:szCs w:val="28"/>
                <w:vertAlign w:val="baseline"/>
                <w:lang w:val="en-US" w:eastAsia="zh-CN"/>
              </w:rPr>
            </w:pPr>
            <w:r>
              <w:rPr>
                <w:rFonts w:hint="eastAsia"/>
                <w:color w:val="auto"/>
                <w:sz w:val="28"/>
                <w:szCs w:val="28"/>
                <w:vertAlign w:val="baseline"/>
                <w:lang w:val="en-US" w:eastAsia="zh-CN"/>
              </w:rPr>
              <w:t>30</w:t>
            </w:r>
          </w:p>
        </w:tc>
        <w:tc>
          <w:tcPr>
            <w:tcW w:w="945" w:type="dxa"/>
          </w:tcPr>
          <w:p>
            <w:pPr>
              <w:pStyle w:val="5"/>
              <w:spacing w:before="225" w:beforeAutospacing="0" w:after="0" w:afterAutospacing="0" w:line="450" w:lineRule="atLeast"/>
              <w:jc w:val="center"/>
              <w:rPr>
                <w:rFonts w:hint="default"/>
                <w:color w:val="auto"/>
                <w:sz w:val="28"/>
                <w:szCs w:val="28"/>
                <w:vertAlign w:val="baseline"/>
                <w:lang w:val="en-US" w:eastAsia="zh-CN"/>
              </w:rPr>
            </w:pPr>
            <w:r>
              <w:rPr>
                <w:rFonts w:hint="eastAsia"/>
                <w:color w:val="auto"/>
                <w:sz w:val="28"/>
                <w:szCs w:val="28"/>
                <w:vertAlign w:val="baseline"/>
                <w:lang w:val="en-US" w:eastAsia="zh-CN"/>
              </w:rPr>
              <w:t>450</w:t>
            </w:r>
          </w:p>
        </w:tc>
      </w:tr>
    </w:tbl>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一类培训是指参训人员主要为厅局级人员的培训项目。</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二类培训是指参训人员主要为县处级人员的培训项目。</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三类培训是指参训人员主要为科级及以下人员的培训项目。</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以其他人员为主的培训项目参照上述标准分类执行。</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综合定额标准是培训费开支的上限，各项费用之间可以调剂使用。各</w:t>
      </w:r>
      <w:r>
        <w:rPr>
          <w:rFonts w:hint="eastAsia" w:ascii="宋体" w:hAnsi="宋体" w:cs="宋体"/>
          <w:kern w:val="2"/>
          <w:sz w:val="28"/>
          <w:szCs w:val="28"/>
          <w:lang w:val="en-US" w:eastAsia="zh-CN" w:bidi="ar"/>
        </w:rPr>
        <w:t>部门</w:t>
      </w:r>
      <w:r>
        <w:rPr>
          <w:rFonts w:hint="eastAsia" w:ascii="宋体" w:hAnsi="宋体" w:eastAsia="宋体" w:cs="宋体"/>
          <w:kern w:val="2"/>
          <w:sz w:val="28"/>
          <w:szCs w:val="28"/>
          <w:lang w:val="en-US" w:eastAsia="zh-CN" w:bidi="ar"/>
        </w:rPr>
        <w:t>应在综合定额标准以内结算报销。</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30天以内的培训按照综合定额标准控制；超过30天的培训，超过天数按照综合定额标准的70%控制。上述天数含报到撤离时间，报到和 撤离时间分别不得超过1天。</w:t>
      </w:r>
    </w:p>
    <w:p>
      <w:pPr>
        <w:pStyle w:val="5"/>
        <w:shd w:val="clear" w:color="auto" w:fill="FFFFFF"/>
        <w:spacing w:before="225" w:beforeAutospacing="0" w:after="0" w:afterAutospacing="0" w:line="450" w:lineRule="atLeast"/>
        <w:ind w:firstLine="480"/>
        <w:rPr>
          <w:rFonts w:hint="eastAsia"/>
          <w:color w:val="333333"/>
          <w:sz w:val="28"/>
          <w:szCs w:val="28"/>
        </w:rPr>
      </w:pPr>
      <w:r>
        <w:rPr>
          <w:rFonts w:hint="eastAsia"/>
          <w:color w:val="333333"/>
          <w:sz w:val="28"/>
          <w:szCs w:val="28"/>
        </w:rPr>
        <w:t>第</w:t>
      </w:r>
      <w:r>
        <w:rPr>
          <w:rFonts w:hint="eastAsia"/>
          <w:color w:val="333333"/>
          <w:sz w:val="28"/>
          <w:szCs w:val="28"/>
          <w:lang w:eastAsia="zh-CN"/>
        </w:rPr>
        <w:t>七</w:t>
      </w:r>
      <w:r>
        <w:rPr>
          <w:rFonts w:hint="eastAsia"/>
          <w:color w:val="333333"/>
          <w:sz w:val="28"/>
          <w:szCs w:val="28"/>
        </w:rPr>
        <w:t>条  师资费在综合定额标准外单独核算。</w:t>
      </w:r>
    </w:p>
    <w:p>
      <w:pPr>
        <w:keepNext w:val="0"/>
        <w:keepLines w:val="0"/>
        <w:widowControl w:val="0"/>
        <w:suppressLineNumbers w:val="0"/>
        <w:spacing w:before="0" w:beforeAutospacing="0" w:after="0" w:afterAutospacing="0"/>
        <w:ind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（一）讲课费（税后）执行以下标准：</w:t>
      </w:r>
    </w:p>
    <w:p>
      <w:pPr>
        <w:keepNext w:val="0"/>
        <w:keepLines w:val="0"/>
        <w:widowControl w:val="0"/>
        <w:suppressLineNumbers w:val="0"/>
        <w:spacing w:before="0" w:beforeAutospacing="0" w:after="0" w:afterAutospacing="0"/>
        <w:ind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院士、全国知名专家每学时一般不超过1500元；</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正高级技术职称专业人员每学时最高不超 过1000元；</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副高级技术职称及以下专业人员每学时最高不超过500元；</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讲课费按实际发生的学时计算，每半天最多按4学时计算。</w:t>
      </w:r>
    </w:p>
    <w:p>
      <w:pPr>
        <w:keepNext w:val="0"/>
        <w:keepLines w:val="0"/>
        <w:widowControl w:val="0"/>
        <w:suppressLineNumbers w:val="0"/>
        <w:spacing w:before="0" w:beforeAutospacing="0" w:after="0" w:afterAutospacing="0"/>
        <w:ind w:left="0" w:right="0" w:firstLine="560" w:firstLineChars="200"/>
        <w:jc w:val="both"/>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其他人员讲课费参照上述标准执行。</w:t>
      </w:r>
    </w:p>
    <w:p>
      <w:pPr>
        <w:keepNext w:val="0"/>
        <w:keepLines w:val="0"/>
        <w:widowControl w:val="0"/>
        <w:suppressLineNumbers w:val="0"/>
        <w:spacing w:before="0" w:beforeAutospacing="0" w:after="0" w:afterAutospacing="0"/>
        <w:ind w:left="0" w:right="0" w:firstLine="560" w:firstLineChars="200"/>
        <w:jc w:val="both"/>
        <w:rPr>
          <w:color w:val="333333"/>
          <w:sz w:val="28"/>
          <w:szCs w:val="28"/>
        </w:rPr>
      </w:pPr>
      <w:r>
        <w:rPr>
          <w:rFonts w:hint="eastAsia"/>
          <w:color w:val="333333"/>
          <w:sz w:val="28"/>
          <w:szCs w:val="28"/>
        </w:rPr>
        <w:t>同时为多班次一并授课的，不重复计算讲课费。</w:t>
      </w:r>
    </w:p>
    <w:p>
      <w:pPr>
        <w:ind w:firstLine="560" w:firstLineChars="200"/>
        <w:jc w:val="left"/>
        <w:rPr>
          <w:color w:val="333333"/>
          <w:sz w:val="28"/>
          <w:szCs w:val="28"/>
        </w:rPr>
      </w:pPr>
      <w:r>
        <w:rPr>
          <w:rFonts w:hint="eastAsia"/>
          <w:color w:val="333333"/>
          <w:sz w:val="28"/>
          <w:szCs w:val="28"/>
        </w:rPr>
        <w:t>（二）授课老师的城市间交通费按照</w:t>
      </w:r>
      <w:r>
        <w:rPr>
          <w:rFonts w:hint="eastAsia"/>
          <w:color w:val="333333"/>
          <w:sz w:val="28"/>
          <w:szCs w:val="28"/>
          <w:lang w:eastAsia="zh-CN"/>
        </w:rPr>
        <w:t>《</w:t>
      </w:r>
      <w:r>
        <w:rPr>
          <w:rFonts w:hint="eastAsia" w:ascii="宋体" w:hAnsi="宋体" w:eastAsia="宋体" w:cs="宋体"/>
          <w:color w:val="333333"/>
          <w:kern w:val="0"/>
          <w:sz w:val="28"/>
          <w:szCs w:val="28"/>
        </w:rPr>
        <w:t>河南大学第一附属医院转发&lt;河南省省直机关差旅费管理办法&gt;的通知》</w:t>
      </w:r>
      <w:r>
        <w:rPr>
          <w:rFonts w:hint="eastAsia" w:ascii="宋体" w:hAnsi="宋体" w:cs="宋体"/>
          <w:color w:val="333333"/>
          <w:kern w:val="0"/>
          <w:sz w:val="28"/>
          <w:szCs w:val="28"/>
          <w:lang w:val="en-US" w:eastAsia="zh-CN"/>
        </w:rPr>
        <w:t>(院行</w:t>
      </w:r>
      <w:r>
        <w:rPr>
          <w:rFonts w:hint="eastAsia" w:ascii="宋体" w:hAnsi="宋体" w:eastAsia="宋体" w:cs="宋体"/>
          <w:color w:val="333333"/>
          <w:kern w:val="0"/>
          <w:sz w:val="28"/>
          <w:szCs w:val="28"/>
          <w:lang w:val="en-US" w:eastAsia="zh-CN"/>
        </w:rPr>
        <w:t>[</w:t>
      </w:r>
      <w:r>
        <w:rPr>
          <w:rFonts w:hint="eastAsia" w:ascii="宋体" w:hAnsi="宋体" w:cs="宋体"/>
          <w:color w:val="333333"/>
          <w:kern w:val="0"/>
          <w:sz w:val="28"/>
          <w:szCs w:val="28"/>
          <w:lang w:val="en-US" w:eastAsia="zh-CN"/>
        </w:rPr>
        <w:t>2019</w:t>
      </w:r>
      <w:r>
        <w:rPr>
          <w:rFonts w:hint="eastAsia" w:ascii="宋体" w:hAnsi="宋体" w:eastAsia="宋体" w:cs="宋体"/>
          <w:color w:val="333333"/>
          <w:kern w:val="0"/>
          <w:sz w:val="28"/>
          <w:szCs w:val="28"/>
          <w:lang w:val="en-US" w:eastAsia="zh-CN"/>
        </w:rPr>
        <w:t>]</w:t>
      </w:r>
      <w:r>
        <w:rPr>
          <w:rFonts w:hint="eastAsia" w:ascii="宋体" w:hAnsi="宋体" w:cs="宋体"/>
          <w:color w:val="333333"/>
          <w:kern w:val="0"/>
          <w:sz w:val="28"/>
          <w:szCs w:val="28"/>
          <w:lang w:val="en-US" w:eastAsia="zh-CN"/>
        </w:rPr>
        <w:t>33号)</w:t>
      </w:r>
      <w:r>
        <w:rPr>
          <w:rFonts w:hint="eastAsia"/>
          <w:color w:val="333333"/>
          <w:sz w:val="28"/>
          <w:szCs w:val="28"/>
        </w:rPr>
        <w:t>有关规定和标准执行，住宿费、伙食费按照本办法标准执行。</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（三）培训工作确有需要从异地（含境外）邀请授课老师，路途时间较长的，经院长书面批准，讲课费可以适当增加。</w:t>
      </w:r>
    </w:p>
    <w:p>
      <w:pPr>
        <w:pStyle w:val="5"/>
        <w:shd w:val="clear" w:color="auto" w:fill="FFFFFF"/>
        <w:spacing w:before="225" w:beforeAutospacing="0" w:after="0" w:afterAutospacing="0" w:line="450" w:lineRule="atLeast"/>
        <w:jc w:val="center"/>
        <w:rPr>
          <w:b/>
          <w:color w:val="333333"/>
          <w:sz w:val="28"/>
          <w:szCs w:val="28"/>
        </w:rPr>
      </w:pPr>
      <w:r>
        <w:rPr>
          <w:rFonts w:hint="eastAsia"/>
          <w:b/>
          <w:color w:val="333333"/>
          <w:sz w:val="28"/>
          <w:szCs w:val="28"/>
        </w:rPr>
        <w:t>第四章 培训组织</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第</w:t>
      </w:r>
      <w:r>
        <w:rPr>
          <w:rFonts w:hint="eastAsia"/>
          <w:color w:val="333333"/>
          <w:sz w:val="28"/>
          <w:szCs w:val="28"/>
          <w:lang w:eastAsia="zh-CN"/>
        </w:rPr>
        <w:t>八</w:t>
      </w:r>
      <w:r>
        <w:rPr>
          <w:rFonts w:hint="eastAsia"/>
          <w:color w:val="333333"/>
          <w:sz w:val="28"/>
          <w:szCs w:val="28"/>
        </w:rPr>
        <w:t>条 各</w:t>
      </w:r>
      <w:r>
        <w:rPr>
          <w:rFonts w:hint="eastAsia"/>
          <w:color w:val="333333"/>
          <w:sz w:val="28"/>
          <w:szCs w:val="28"/>
          <w:lang w:eastAsia="zh-CN"/>
        </w:rPr>
        <w:t>部门</w:t>
      </w:r>
      <w:r>
        <w:rPr>
          <w:rFonts w:hint="eastAsia"/>
          <w:color w:val="333333"/>
          <w:sz w:val="28"/>
          <w:szCs w:val="28"/>
        </w:rPr>
        <w:t>开展培训，应当在开支范围和标准内优先选择</w:t>
      </w:r>
      <w:r>
        <w:rPr>
          <w:rFonts w:hint="eastAsia"/>
          <w:color w:val="333333"/>
          <w:sz w:val="28"/>
          <w:szCs w:val="28"/>
          <w:lang w:eastAsia="zh-CN"/>
        </w:rPr>
        <w:t>党校、行政学院、干部学院、干部网络学院以及</w:t>
      </w:r>
      <w:r>
        <w:rPr>
          <w:rFonts w:hint="eastAsia"/>
          <w:color w:val="333333"/>
          <w:sz w:val="28"/>
          <w:szCs w:val="28"/>
        </w:rPr>
        <w:t>组织人事部门认可的</w:t>
      </w:r>
      <w:r>
        <w:rPr>
          <w:rFonts w:hint="eastAsia"/>
          <w:color w:val="333333"/>
          <w:sz w:val="28"/>
          <w:szCs w:val="28"/>
          <w:lang w:eastAsia="zh-CN"/>
        </w:rPr>
        <w:t>干部培训基地（机构</w:t>
      </w:r>
      <w:r>
        <w:rPr>
          <w:rFonts w:hint="eastAsia"/>
          <w:color w:val="333333"/>
          <w:sz w:val="28"/>
          <w:szCs w:val="28"/>
          <w:lang w:val="en-US" w:eastAsia="zh-CN"/>
        </w:rPr>
        <w:t>）、高校培训分部等其他培训机构</w:t>
      </w:r>
      <w:r>
        <w:rPr>
          <w:rFonts w:hint="eastAsia"/>
          <w:color w:val="333333"/>
          <w:sz w:val="28"/>
          <w:szCs w:val="28"/>
        </w:rPr>
        <w:t>培训机构承办。</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第</w:t>
      </w:r>
      <w:r>
        <w:rPr>
          <w:rFonts w:hint="eastAsia"/>
          <w:color w:val="333333"/>
          <w:sz w:val="28"/>
          <w:szCs w:val="28"/>
          <w:lang w:eastAsia="zh-CN"/>
        </w:rPr>
        <w:t>九</w:t>
      </w:r>
      <w:r>
        <w:rPr>
          <w:rFonts w:hint="eastAsia"/>
          <w:color w:val="333333"/>
          <w:sz w:val="28"/>
          <w:szCs w:val="28"/>
        </w:rPr>
        <w:t>条 组织培训的工作人员控制在参训人员数量的10%以内，最多不超过10人。</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第十条 严禁借培训名义安排公款旅游；严禁借培训名义组织会餐或安排宴请；严禁组织高消费娱乐健身活动；严禁使用培训费购置电脑、复印机、打印机、传真机等固定资产以及开支与培训无关的其他费用；严禁在培训费中列支公务接待费、会议费；严禁套取培训费设立“小金库”。</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培训住宿不得安排高档套房，不得额外配发洗漱用品；培训用餐不得上高档菜肴，不得提供烟酒；除必要的医院现场教学外，7日以内的培训不得组织调研、考察、参观。</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第十</w:t>
      </w:r>
      <w:r>
        <w:rPr>
          <w:rFonts w:hint="eastAsia"/>
          <w:color w:val="333333"/>
          <w:sz w:val="28"/>
          <w:szCs w:val="28"/>
          <w:lang w:eastAsia="zh-CN"/>
        </w:rPr>
        <w:t>一</w:t>
      </w:r>
      <w:r>
        <w:rPr>
          <w:rFonts w:hint="eastAsia"/>
          <w:color w:val="333333"/>
          <w:sz w:val="28"/>
          <w:szCs w:val="28"/>
        </w:rPr>
        <w:t>条 邀请境外师资讲课，须严格按照有关外事管理规定，履行审批手续。境内师资能够满足培训需要的，不得邀请境外师资。</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第十</w:t>
      </w:r>
      <w:r>
        <w:rPr>
          <w:rFonts w:hint="eastAsia"/>
          <w:color w:val="333333"/>
          <w:sz w:val="28"/>
          <w:szCs w:val="28"/>
          <w:lang w:eastAsia="zh-CN"/>
        </w:rPr>
        <w:t>二</w:t>
      </w:r>
      <w:r>
        <w:rPr>
          <w:rFonts w:hint="eastAsia"/>
          <w:color w:val="333333"/>
          <w:sz w:val="28"/>
          <w:szCs w:val="28"/>
        </w:rPr>
        <w:t>条 </w:t>
      </w:r>
      <w:r>
        <w:rPr>
          <w:rFonts w:hint="eastAsia"/>
          <w:color w:val="333333"/>
          <w:sz w:val="28"/>
          <w:szCs w:val="28"/>
          <w:lang w:eastAsia="zh-CN"/>
        </w:rPr>
        <w:t>各部门开展培训，</w:t>
      </w:r>
      <w:r>
        <w:rPr>
          <w:rFonts w:hint="eastAsia"/>
          <w:color w:val="333333"/>
          <w:sz w:val="28"/>
          <w:szCs w:val="28"/>
        </w:rPr>
        <w:t>应当注重教学设计和质量评估，通过需求调研、课程设计和开发、专家论证、评估反馈等环节，推进培训工作科学化、精准化；注重运用大数据、“互联网+”等现代信息技术手段开展培训和管理。所需费用纳入预算予以保障。</w:t>
      </w:r>
    </w:p>
    <w:p>
      <w:pPr>
        <w:pStyle w:val="5"/>
        <w:shd w:val="clear" w:color="auto" w:fill="FFFFFF"/>
        <w:spacing w:before="225" w:beforeAutospacing="0" w:after="0" w:afterAutospacing="0" w:line="450" w:lineRule="atLeast"/>
        <w:ind w:firstLine="480"/>
        <w:rPr>
          <w:color w:val="333333"/>
          <w:sz w:val="28"/>
          <w:szCs w:val="28"/>
        </w:rPr>
      </w:pPr>
    </w:p>
    <w:p>
      <w:pPr>
        <w:pStyle w:val="5"/>
        <w:shd w:val="clear" w:color="auto" w:fill="FFFFFF"/>
        <w:spacing w:before="225" w:beforeAutospacing="0" w:after="0" w:afterAutospacing="0" w:line="450" w:lineRule="atLeast"/>
        <w:jc w:val="center"/>
        <w:rPr>
          <w:b/>
          <w:color w:val="333333"/>
          <w:sz w:val="28"/>
          <w:szCs w:val="28"/>
        </w:rPr>
      </w:pPr>
      <w:r>
        <w:rPr>
          <w:rFonts w:hint="eastAsia"/>
          <w:b/>
          <w:color w:val="333333"/>
          <w:sz w:val="28"/>
          <w:szCs w:val="28"/>
        </w:rPr>
        <w:t>第五章 报销结算</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第十</w:t>
      </w:r>
      <w:r>
        <w:rPr>
          <w:rFonts w:hint="eastAsia"/>
          <w:color w:val="333333"/>
          <w:sz w:val="28"/>
          <w:szCs w:val="28"/>
          <w:lang w:eastAsia="zh-CN"/>
        </w:rPr>
        <w:t>三</w:t>
      </w:r>
      <w:r>
        <w:rPr>
          <w:rFonts w:hint="eastAsia"/>
          <w:color w:val="333333"/>
          <w:sz w:val="28"/>
          <w:szCs w:val="28"/>
        </w:rPr>
        <w:t>条 综合定额范围内的</w:t>
      </w:r>
      <w:r>
        <w:rPr>
          <w:rFonts w:hint="eastAsia"/>
          <w:color w:val="333333"/>
          <w:sz w:val="28"/>
          <w:szCs w:val="28"/>
          <w:lang w:eastAsia="zh-CN"/>
        </w:rPr>
        <w:t>培训费报销</w:t>
      </w:r>
      <w:r>
        <w:rPr>
          <w:rFonts w:hint="eastAsia"/>
          <w:color w:val="333333"/>
          <w:sz w:val="28"/>
          <w:szCs w:val="28"/>
        </w:rPr>
        <w:t>，应当提供</w:t>
      </w:r>
      <w:r>
        <w:rPr>
          <w:rFonts w:hint="eastAsia"/>
          <w:color w:val="333333"/>
          <w:sz w:val="28"/>
          <w:szCs w:val="28"/>
          <w:lang w:eastAsia="zh-CN"/>
        </w:rPr>
        <w:t>本部门</w:t>
      </w:r>
      <w:r>
        <w:rPr>
          <w:rFonts w:hint="eastAsia"/>
          <w:color w:val="333333"/>
          <w:sz w:val="28"/>
          <w:szCs w:val="28"/>
        </w:rPr>
        <w:t>培训计划审批</w:t>
      </w:r>
      <w:r>
        <w:rPr>
          <w:rFonts w:hint="eastAsia"/>
          <w:color w:val="333333"/>
          <w:sz w:val="28"/>
          <w:szCs w:val="28"/>
          <w:lang w:eastAsia="zh-CN"/>
        </w:rPr>
        <w:t>资料</w:t>
      </w:r>
      <w:r>
        <w:rPr>
          <w:rFonts w:hint="eastAsia"/>
          <w:color w:val="333333"/>
          <w:sz w:val="28"/>
          <w:szCs w:val="28"/>
        </w:rPr>
        <w:t>、培训通知、实际参训人员签到表以及培训机构出具的收款票据、</w:t>
      </w:r>
      <w:r>
        <w:rPr>
          <w:rFonts w:hint="eastAsia"/>
          <w:color w:val="333333"/>
          <w:sz w:val="28"/>
          <w:szCs w:val="28"/>
          <w:lang w:eastAsia="zh-CN"/>
        </w:rPr>
        <w:t>原始</w:t>
      </w:r>
      <w:r>
        <w:rPr>
          <w:rFonts w:hint="eastAsia"/>
          <w:color w:val="333333"/>
          <w:sz w:val="28"/>
          <w:szCs w:val="28"/>
        </w:rPr>
        <w:t>明细</w:t>
      </w:r>
      <w:r>
        <w:rPr>
          <w:rFonts w:hint="eastAsia"/>
          <w:color w:val="333333"/>
          <w:sz w:val="28"/>
          <w:szCs w:val="28"/>
          <w:lang w:eastAsia="zh-CN"/>
        </w:rPr>
        <w:t>单据、电子结算单等凭证。</w:t>
      </w:r>
      <w:r>
        <w:rPr>
          <w:rFonts w:hint="eastAsia"/>
          <w:color w:val="333333"/>
          <w:sz w:val="28"/>
          <w:szCs w:val="28"/>
        </w:rPr>
        <w:t>师资费</w:t>
      </w:r>
      <w:r>
        <w:rPr>
          <w:rFonts w:hint="eastAsia"/>
          <w:color w:val="333333"/>
          <w:sz w:val="28"/>
          <w:szCs w:val="28"/>
          <w:lang w:eastAsia="zh-CN"/>
        </w:rPr>
        <w:t>用报销</w:t>
      </w:r>
      <w:r>
        <w:rPr>
          <w:rFonts w:hint="eastAsia"/>
          <w:color w:val="333333"/>
          <w:sz w:val="28"/>
          <w:szCs w:val="28"/>
        </w:rPr>
        <w:t>，应当提供讲课费签收单或合同，异地授课的城市间交通费、住宿费、伙食费按照</w:t>
      </w:r>
      <w:r>
        <w:rPr>
          <w:rFonts w:hint="eastAsia"/>
          <w:color w:val="333333"/>
          <w:sz w:val="28"/>
          <w:szCs w:val="28"/>
          <w:lang w:eastAsia="zh-CN"/>
        </w:rPr>
        <w:t>差旅费报销办法</w:t>
      </w:r>
      <w:r>
        <w:rPr>
          <w:rFonts w:hint="eastAsia"/>
          <w:color w:val="333333"/>
          <w:sz w:val="28"/>
          <w:szCs w:val="28"/>
        </w:rPr>
        <w:t>提供相关凭据</w:t>
      </w:r>
      <w:r>
        <w:rPr>
          <w:rFonts w:hint="eastAsia"/>
          <w:color w:val="333333"/>
          <w:sz w:val="28"/>
          <w:szCs w:val="28"/>
          <w:lang w:eastAsia="zh-CN"/>
        </w:rPr>
        <w:t>。</w:t>
      </w:r>
      <w:r>
        <w:rPr>
          <w:rFonts w:hint="eastAsia"/>
          <w:color w:val="333333"/>
          <w:sz w:val="28"/>
          <w:szCs w:val="28"/>
        </w:rPr>
        <w:t>执行中经批准临时增加的培训项目，还应提供</w:t>
      </w:r>
      <w:r>
        <w:rPr>
          <w:rFonts w:hint="eastAsia"/>
          <w:color w:val="333333"/>
          <w:sz w:val="28"/>
          <w:szCs w:val="28"/>
          <w:lang w:eastAsia="zh-CN"/>
        </w:rPr>
        <w:t>相应审批材料</w:t>
      </w:r>
      <w:r>
        <w:rPr>
          <w:rFonts w:hint="eastAsia"/>
          <w:color w:val="333333"/>
          <w:sz w:val="28"/>
          <w:szCs w:val="28"/>
        </w:rPr>
        <w:t>。</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财务部门应当按照规定</w:t>
      </w:r>
      <w:r>
        <w:rPr>
          <w:rFonts w:hint="eastAsia"/>
          <w:color w:val="333333"/>
          <w:sz w:val="28"/>
          <w:szCs w:val="28"/>
          <w:lang w:eastAsia="zh-CN"/>
        </w:rPr>
        <w:t>严格</w:t>
      </w:r>
      <w:r>
        <w:rPr>
          <w:rFonts w:hint="eastAsia"/>
          <w:color w:val="333333"/>
          <w:sz w:val="28"/>
          <w:szCs w:val="28"/>
        </w:rPr>
        <w:t>审核培训费开支，对未履行审批备案程序的培训，以及超范围、超标准开支的费用不予报销。</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第十</w:t>
      </w:r>
      <w:r>
        <w:rPr>
          <w:rFonts w:hint="eastAsia"/>
          <w:color w:val="333333"/>
          <w:sz w:val="28"/>
          <w:szCs w:val="28"/>
          <w:lang w:eastAsia="zh-CN"/>
        </w:rPr>
        <w:t>四</w:t>
      </w:r>
      <w:r>
        <w:rPr>
          <w:rFonts w:hint="eastAsia"/>
          <w:color w:val="333333"/>
          <w:sz w:val="28"/>
          <w:szCs w:val="28"/>
        </w:rPr>
        <w:t>条 培训费的资金支付应当</w:t>
      </w:r>
      <w:r>
        <w:rPr>
          <w:rFonts w:hint="eastAsia"/>
          <w:color w:val="333333"/>
          <w:sz w:val="28"/>
          <w:szCs w:val="28"/>
          <w:lang w:eastAsia="zh-CN"/>
        </w:rPr>
        <w:t>按照</w:t>
      </w:r>
      <w:r>
        <w:rPr>
          <w:rFonts w:hint="eastAsia"/>
          <w:color w:val="333333"/>
          <w:sz w:val="28"/>
          <w:szCs w:val="28"/>
        </w:rPr>
        <w:t>直接支付和公务卡管理有关制度</w:t>
      </w:r>
      <w:r>
        <w:rPr>
          <w:rFonts w:hint="eastAsia"/>
          <w:color w:val="333333"/>
          <w:sz w:val="28"/>
          <w:szCs w:val="28"/>
          <w:lang w:eastAsia="zh-CN"/>
        </w:rPr>
        <w:t>执行</w:t>
      </w:r>
      <w:r>
        <w:rPr>
          <w:rFonts w:hint="eastAsia"/>
          <w:color w:val="333333"/>
          <w:sz w:val="28"/>
          <w:szCs w:val="28"/>
        </w:rPr>
        <w:t>。</w:t>
      </w:r>
    </w:p>
    <w:p>
      <w:pPr>
        <w:pStyle w:val="5"/>
        <w:shd w:val="clear" w:color="auto" w:fill="FFFFFF"/>
        <w:spacing w:before="225" w:beforeAutospacing="0" w:after="0" w:afterAutospacing="0" w:line="450" w:lineRule="atLeast"/>
        <w:jc w:val="center"/>
        <w:rPr>
          <w:b/>
          <w:color w:val="333333"/>
          <w:sz w:val="28"/>
          <w:szCs w:val="28"/>
        </w:rPr>
      </w:pPr>
      <w:r>
        <w:rPr>
          <w:rFonts w:hint="eastAsia"/>
          <w:b/>
          <w:color w:val="333333"/>
          <w:sz w:val="28"/>
          <w:szCs w:val="28"/>
        </w:rPr>
        <w:t>第六章 监督检查</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第十</w:t>
      </w:r>
      <w:r>
        <w:rPr>
          <w:rFonts w:hint="eastAsia"/>
          <w:color w:val="333333"/>
          <w:sz w:val="28"/>
          <w:szCs w:val="28"/>
          <w:lang w:eastAsia="zh-CN"/>
        </w:rPr>
        <w:t>五</w:t>
      </w:r>
      <w:r>
        <w:rPr>
          <w:rFonts w:hint="eastAsia"/>
          <w:color w:val="333333"/>
          <w:sz w:val="28"/>
          <w:szCs w:val="28"/>
        </w:rPr>
        <w:t xml:space="preserve">条 </w:t>
      </w:r>
      <w:r>
        <w:rPr>
          <w:color w:val="333333"/>
          <w:sz w:val="28"/>
          <w:szCs w:val="28"/>
        </w:rPr>
        <w:t xml:space="preserve"> </w:t>
      </w:r>
      <w:r>
        <w:rPr>
          <w:rFonts w:hint="eastAsia"/>
          <w:color w:val="333333"/>
          <w:sz w:val="28"/>
          <w:szCs w:val="28"/>
        </w:rPr>
        <w:t>各</w:t>
      </w:r>
      <w:r>
        <w:rPr>
          <w:rFonts w:hint="eastAsia"/>
          <w:color w:val="333333"/>
          <w:sz w:val="28"/>
          <w:szCs w:val="28"/>
          <w:lang w:eastAsia="zh-CN"/>
        </w:rPr>
        <w:t>部门</w:t>
      </w:r>
      <w:r>
        <w:rPr>
          <w:rFonts w:hint="eastAsia"/>
          <w:color w:val="333333"/>
          <w:sz w:val="28"/>
          <w:szCs w:val="28"/>
        </w:rPr>
        <w:t>应当将非涉密培训的项目、内容、人数、经费等情况，以适当方式公开。</w:t>
      </w:r>
    </w:p>
    <w:p>
      <w:pPr>
        <w:pStyle w:val="5"/>
        <w:shd w:val="clear" w:color="auto" w:fill="FFFFFF"/>
        <w:spacing w:before="225" w:beforeAutospacing="0" w:after="0" w:afterAutospacing="0" w:line="450" w:lineRule="atLeast"/>
        <w:ind w:firstLine="480"/>
        <w:rPr>
          <w:color w:val="auto"/>
          <w:sz w:val="28"/>
          <w:szCs w:val="28"/>
        </w:rPr>
      </w:pPr>
      <w:r>
        <w:rPr>
          <w:rFonts w:hint="eastAsia"/>
          <w:color w:val="333333"/>
          <w:sz w:val="28"/>
          <w:szCs w:val="28"/>
        </w:rPr>
        <w:t>第十</w:t>
      </w:r>
      <w:r>
        <w:rPr>
          <w:rFonts w:hint="eastAsia"/>
          <w:color w:val="333333"/>
          <w:sz w:val="28"/>
          <w:szCs w:val="28"/>
          <w:lang w:eastAsia="zh-CN"/>
        </w:rPr>
        <w:t>六</w:t>
      </w:r>
      <w:r>
        <w:rPr>
          <w:rFonts w:hint="eastAsia"/>
          <w:color w:val="333333"/>
          <w:sz w:val="28"/>
          <w:szCs w:val="28"/>
        </w:rPr>
        <w:t>条 各</w:t>
      </w:r>
      <w:r>
        <w:rPr>
          <w:rFonts w:hint="eastAsia"/>
          <w:color w:val="333333"/>
          <w:sz w:val="28"/>
          <w:szCs w:val="28"/>
          <w:lang w:eastAsia="zh-CN"/>
        </w:rPr>
        <w:t>部门应当于每</w:t>
      </w:r>
      <w:r>
        <w:rPr>
          <w:rFonts w:hint="eastAsia"/>
          <w:color w:val="333333"/>
          <w:sz w:val="28"/>
          <w:szCs w:val="28"/>
        </w:rPr>
        <w:t>年</w:t>
      </w:r>
      <w:r>
        <w:rPr>
          <w:rFonts w:hint="eastAsia"/>
          <w:color w:val="333333"/>
          <w:sz w:val="28"/>
          <w:szCs w:val="28"/>
          <w:lang w:val="en-US" w:eastAsia="zh-CN"/>
        </w:rPr>
        <w:t>3</w:t>
      </w:r>
      <w:r>
        <w:rPr>
          <w:rFonts w:hint="eastAsia"/>
          <w:color w:val="333333"/>
          <w:sz w:val="28"/>
          <w:szCs w:val="28"/>
        </w:rPr>
        <w:t>月</w:t>
      </w:r>
      <w:r>
        <w:rPr>
          <w:rFonts w:hint="eastAsia"/>
          <w:color w:val="333333"/>
          <w:sz w:val="28"/>
          <w:szCs w:val="28"/>
          <w:lang w:val="en-US" w:eastAsia="zh-CN"/>
        </w:rPr>
        <w:t>31</w:t>
      </w:r>
      <w:r>
        <w:rPr>
          <w:rFonts w:hint="eastAsia"/>
          <w:color w:val="333333"/>
          <w:sz w:val="28"/>
          <w:szCs w:val="28"/>
        </w:rPr>
        <w:t>日前</w:t>
      </w:r>
      <w:r>
        <w:rPr>
          <w:rFonts w:hint="eastAsia"/>
          <w:color w:val="333333"/>
          <w:sz w:val="28"/>
          <w:szCs w:val="28"/>
          <w:lang w:eastAsia="zh-CN"/>
        </w:rPr>
        <w:t>将上年度培训计划执行情况（包括培训名称、对象、内容、时间、地点、参训人数、工作人员数、经费开支、培训成效、问题建议等），</w:t>
      </w:r>
      <w:r>
        <w:rPr>
          <w:rFonts w:hint="eastAsia"/>
          <w:color w:val="auto"/>
          <w:sz w:val="28"/>
          <w:szCs w:val="28"/>
        </w:rPr>
        <w:t>报</w:t>
      </w:r>
      <w:r>
        <w:rPr>
          <w:rFonts w:hint="eastAsia"/>
          <w:color w:val="auto"/>
          <w:sz w:val="28"/>
          <w:szCs w:val="28"/>
          <w:lang w:eastAsia="zh-CN"/>
        </w:rPr>
        <w:t>送</w:t>
      </w:r>
      <w:r>
        <w:rPr>
          <w:rFonts w:hint="eastAsia"/>
          <w:color w:val="auto"/>
          <w:sz w:val="28"/>
          <w:szCs w:val="28"/>
        </w:rPr>
        <w:t>医院</w:t>
      </w:r>
      <w:r>
        <w:rPr>
          <w:rFonts w:hint="eastAsia"/>
          <w:color w:val="auto"/>
          <w:sz w:val="28"/>
          <w:szCs w:val="28"/>
          <w:lang w:eastAsia="zh-CN"/>
        </w:rPr>
        <w:t>纪委、审计和组织部门</w:t>
      </w:r>
      <w:r>
        <w:rPr>
          <w:rFonts w:hint="eastAsia"/>
          <w:color w:val="auto"/>
          <w:sz w:val="28"/>
          <w:szCs w:val="28"/>
        </w:rPr>
        <w:t>。</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第</w:t>
      </w:r>
      <w:r>
        <w:rPr>
          <w:rFonts w:hint="eastAsia"/>
          <w:color w:val="333333"/>
          <w:sz w:val="28"/>
          <w:szCs w:val="28"/>
          <w:lang w:eastAsia="zh-CN"/>
        </w:rPr>
        <w:t>十七</w:t>
      </w:r>
      <w:r>
        <w:rPr>
          <w:rFonts w:hint="eastAsia"/>
          <w:color w:val="333333"/>
          <w:sz w:val="28"/>
          <w:szCs w:val="28"/>
        </w:rPr>
        <w:t>条 医院</w:t>
      </w:r>
      <w:r>
        <w:rPr>
          <w:rFonts w:hint="eastAsia"/>
          <w:color w:val="333333"/>
          <w:sz w:val="28"/>
          <w:szCs w:val="28"/>
          <w:lang w:eastAsia="zh-CN"/>
        </w:rPr>
        <w:t>纪委、</w:t>
      </w:r>
      <w:r>
        <w:rPr>
          <w:rFonts w:hint="eastAsia"/>
          <w:color w:val="333333"/>
          <w:sz w:val="28"/>
          <w:szCs w:val="28"/>
        </w:rPr>
        <w:t>审计部门按计划对各单位培训活动和培训费管理使用情况进行监督检查。主要内容包括：</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（一） 培训计划的编报是否符合规定；</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（二） 临时增加培训计划是否报院长审批；</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（三） 培训费开支范围和开支标准是否符合规定；</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（四） 培训费报销和支付是否符合规定；</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（五） 是否存在虚报培训费用的行为；</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（六） 是否存在转嫁、摊派培训费用的行为；</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（七） 是否存在向参训人员收费的行为；</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（八） 是否存在奢侈浪费现象；</w:t>
      </w:r>
    </w:p>
    <w:p>
      <w:pPr>
        <w:pStyle w:val="5"/>
        <w:shd w:val="clear" w:color="auto" w:fill="FFFFFF"/>
        <w:spacing w:before="225" w:beforeAutospacing="0" w:after="0" w:afterAutospacing="0" w:line="450" w:lineRule="atLeast"/>
        <w:ind w:firstLine="480"/>
        <w:rPr>
          <w:color w:val="333333"/>
          <w:sz w:val="28"/>
          <w:szCs w:val="28"/>
        </w:rPr>
      </w:pPr>
      <w:r>
        <w:rPr>
          <w:rFonts w:hint="eastAsia"/>
          <w:color w:val="333333"/>
          <w:sz w:val="28"/>
          <w:szCs w:val="28"/>
        </w:rPr>
        <w:t>（九） 是否存在其他违反本办法的行为。</w:t>
      </w:r>
    </w:p>
    <w:p>
      <w:pPr>
        <w:pStyle w:val="5"/>
        <w:shd w:val="clear" w:color="auto" w:fill="FFFFFF"/>
        <w:spacing w:before="225" w:beforeAutospacing="0" w:after="0" w:afterAutospacing="0" w:line="450" w:lineRule="atLeast"/>
        <w:ind w:firstLine="480"/>
        <w:rPr>
          <w:rFonts w:hint="eastAsia"/>
          <w:color w:val="333333"/>
          <w:sz w:val="28"/>
          <w:szCs w:val="28"/>
        </w:rPr>
      </w:pPr>
      <w:r>
        <w:rPr>
          <w:rFonts w:hint="eastAsia"/>
          <w:color w:val="333333"/>
          <w:sz w:val="28"/>
          <w:szCs w:val="28"/>
        </w:rPr>
        <w:t>第</w:t>
      </w:r>
      <w:r>
        <w:rPr>
          <w:rFonts w:hint="eastAsia"/>
          <w:color w:val="333333"/>
          <w:sz w:val="28"/>
          <w:szCs w:val="28"/>
          <w:lang w:eastAsia="zh-CN"/>
        </w:rPr>
        <w:t>十八</w:t>
      </w:r>
      <w:r>
        <w:rPr>
          <w:rFonts w:hint="eastAsia"/>
          <w:color w:val="333333"/>
          <w:sz w:val="28"/>
          <w:szCs w:val="28"/>
        </w:rPr>
        <w:t>条 对于检查中发现的违反本办法的行为，由医院审计、纪委责令改正，追回资金，并予以通报。对相关责任人员，按规定予以党纪政纪处分；涉嫌违法的，移交司法机关处理。</w:t>
      </w:r>
    </w:p>
    <w:p>
      <w:pPr>
        <w:pStyle w:val="5"/>
        <w:numPr>
          <w:ilvl w:val="0"/>
          <w:numId w:val="1"/>
        </w:numPr>
        <w:shd w:val="clear" w:color="auto" w:fill="FFFFFF"/>
        <w:spacing w:before="225" w:beforeAutospacing="0" w:after="0" w:afterAutospacing="0" w:line="450" w:lineRule="atLeast"/>
        <w:ind w:firstLine="2603" w:firstLineChars="926"/>
        <w:rPr>
          <w:rFonts w:hint="eastAsia"/>
          <w:b/>
          <w:color w:val="333333"/>
          <w:sz w:val="28"/>
          <w:szCs w:val="28"/>
          <w:lang w:eastAsia="zh-CN"/>
        </w:rPr>
      </w:pPr>
      <w:r>
        <w:rPr>
          <w:rFonts w:hint="eastAsia"/>
          <w:b/>
          <w:color w:val="333333"/>
          <w:sz w:val="28"/>
          <w:szCs w:val="28"/>
          <w:lang w:eastAsia="zh-CN"/>
        </w:rPr>
        <w:t>附则</w:t>
      </w:r>
    </w:p>
    <w:p>
      <w:pPr>
        <w:pStyle w:val="5"/>
        <w:numPr>
          <w:ilvl w:val="0"/>
          <w:numId w:val="2"/>
        </w:numPr>
        <w:shd w:val="clear" w:color="auto" w:fill="FFFFFF"/>
        <w:spacing w:before="225" w:beforeAutospacing="0" w:after="0" w:afterAutospacing="0" w:line="450" w:lineRule="atLeast"/>
        <w:ind w:left="421" w:leftChars="0" w:firstLine="0" w:firstLineChars="0"/>
        <w:rPr>
          <w:rFonts w:hint="eastAsia"/>
          <w:b w:val="0"/>
          <w:bCs/>
          <w:color w:val="333333"/>
          <w:sz w:val="28"/>
          <w:szCs w:val="28"/>
          <w:lang w:val="en-US" w:eastAsia="zh-CN"/>
        </w:rPr>
      </w:pPr>
      <w:r>
        <w:rPr>
          <w:rFonts w:hint="eastAsia"/>
          <w:b w:val="0"/>
          <w:bCs/>
          <w:color w:val="333333"/>
          <w:sz w:val="28"/>
          <w:szCs w:val="28"/>
          <w:lang w:val="en-US" w:eastAsia="zh-CN"/>
        </w:rPr>
        <w:t xml:space="preserve"> 本办法由财务科负责解释。</w:t>
      </w:r>
    </w:p>
    <w:p>
      <w:pPr>
        <w:pStyle w:val="5"/>
        <w:numPr>
          <w:ilvl w:val="0"/>
          <w:numId w:val="2"/>
        </w:numPr>
        <w:shd w:val="clear" w:color="auto" w:fill="FFFFFF"/>
        <w:spacing w:before="225" w:beforeAutospacing="0" w:after="0" w:afterAutospacing="0" w:line="450" w:lineRule="atLeast"/>
        <w:ind w:left="421" w:leftChars="0" w:firstLine="0" w:firstLineChars="0"/>
        <w:rPr>
          <w:rFonts w:hint="default"/>
          <w:b w:val="0"/>
          <w:bCs/>
          <w:color w:val="333333"/>
          <w:sz w:val="28"/>
          <w:szCs w:val="28"/>
          <w:lang w:val="en-US" w:eastAsia="zh-CN"/>
        </w:rPr>
      </w:pPr>
      <w:r>
        <w:rPr>
          <w:rFonts w:hint="eastAsia"/>
          <w:b w:val="0"/>
          <w:bCs/>
          <w:color w:val="333333"/>
          <w:sz w:val="28"/>
          <w:szCs w:val="28"/>
          <w:lang w:val="en-US" w:eastAsia="zh-CN"/>
        </w:rPr>
        <w:t xml:space="preserve"> 本办法自发布之日起施行。</w:t>
      </w:r>
    </w:p>
    <w:p>
      <w:pPr>
        <w:pStyle w:val="5"/>
        <w:shd w:val="clear" w:color="auto" w:fill="FFFFFF"/>
        <w:spacing w:before="225" w:beforeAutospacing="0" w:after="0" w:afterAutospacing="0" w:line="450" w:lineRule="atLeast"/>
        <w:ind w:firstLine="480"/>
        <w:rPr>
          <w:rFonts w:hint="eastAsia"/>
          <w:color w:val="333333"/>
          <w:sz w:val="28"/>
          <w:szCs w:val="28"/>
        </w:rPr>
      </w:pPr>
    </w:p>
    <w:p>
      <w:pPr>
        <w:pStyle w:val="5"/>
        <w:shd w:val="clear" w:color="auto" w:fill="FFFFFF"/>
        <w:spacing w:before="225" w:beforeAutospacing="0" w:after="0" w:afterAutospacing="0" w:line="450" w:lineRule="atLeast"/>
        <w:ind w:firstLine="480"/>
        <w:rPr>
          <w:rFonts w:hint="default"/>
          <w:color w:val="333333"/>
          <w:sz w:val="28"/>
          <w:szCs w:val="28"/>
          <w:lang w:val="en-US" w:eastAsia="zh-CN"/>
        </w:rPr>
      </w:pPr>
    </w:p>
    <w:p>
      <w:pPr>
        <w:pStyle w:val="5"/>
        <w:shd w:val="clear" w:color="auto" w:fill="FFFFFF"/>
        <w:spacing w:before="225" w:beforeAutospacing="0" w:after="0" w:afterAutospacing="0" w:line="450" w:lineRule="atLeast"/>
        <w:ind w:firstLine="480"/>
        <w:rPr>
          <w:rFonts w:hint="default"/>
          <w:color w:val="333333"/>
          <w:sz w:val="28"/>
          <w:szCs w:val="28"/>
          <w:lang w:val="en-US" w:eastAsia="zh-CN"/>
        </w:rPr>
      </w:pPr>
    </w:p>
    <w:p>
      <w:pPr>
        <w:pStyle w:val="5"/>
        <w:shd w:val="clear" w:color="auto" w:fill="FFFFFF"/>
        <w:spacing w:before="225" w:beforeAutospacing="0" w:after="0" w:afterAutospacing="0" w:line="450" w:lineRule="atLeast"/>
        <w:ind w:firstLine="480"/>
        <w:rPr>
          <w:rFonts w:hint="default"/>
          <w:color w:val="333333"/>
          <w:sz w:val="28"/>
          <w:szCs w:val="28"/>
          <w:lang w:val="en-US" w:eastAsia="zh-CN"/>
        </w:rPr>
      </w:pPr>
    </w:p>
    <w:p>
      <w:pPr>
        <w:pStyle w:val="5"/>
        <w:shd w:val="clear" w:color="auto" w:fill="FFFFFF"/>
        <w:spacing w:before="225" w:beforeAutospacing="0" w:after="0" w:afterAutospacing="0" w:line="450" w:lineRule="atLeast"/>
        <w:ind w:firstLine="480"/>
        <w:rPr>
          <w:rFonts w:hint="default"/>
          <w:color w:val="333333"/>
          <w:sz w:val="28"/>
          <w:szCs w:val="28"/>
          <w:lang w:val="en-US" w:eastAsia="zh-CN"/>
        </w:rPr>
      </w:pPr>
    </w:p>
    <w:p>
      <w:pPr>
        <w:pStyle w:val="5"/>
        <w:shd w:val="clear" w:color="auto" w:fill="FFFFFF"/>
        <w:spacing w:before="225" w:beforeAutospacing="0" w:after="0" w:afterAutospacing="0" w:line="450" w:lineRule="atLeast"/>
        <w:ind w:firstLine="480"/>
        <w:rPr>
          <w:rFonts w:hint="default"/>
          <w:color w:val="333333"/>
          <w:sz w:val="28"/>
          <w:szCs w:val="28"/>
          <w:lang w:val="en-US" w:eastAsia="zh-CN"/>
        </w:rPr>
      </w:pPr>
    </w:p>
    <w:p>
      <w:pPr>
        <w:jc w:val="left"/>
        <w:rPr>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0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429490"/>
    <w:multiLevelType w:val="singleLevel"/>
    <w:tmpl w:val="81429490"/>
    <w:lvl w:ilvl="0" w:tentative="0">
      <w:start w:val="7"/>
      <w:numFmt w:val="chineseCounting"/>
      <w:suff w:val="space"/>
      <w:lvlText w:val="第%1章"/>
      <w:lvlJc w:val="left"/>
      <w:rPr>
        <w:rFonts w:hint="eastAsia"/>
      </w:rPr>
    </w:lvl>
  </w:abstractNum>
  <w:abstractNum w:abstractNumId="1">
    <w:nsid w:val="6B9FAA42"/>
    <w:multiLevelType w:val="singleLevel"/>
    <w:tmpl w:val="6B9FAA42"/>
    <w:lvl w:ilvl="0" w:tentative="0">
      <w:start w:val="19"/>
      <w:numFmt w:val="chineseCounting"/>
      <w:suff w:val="space"/>
      <w:lvlText w:val="第%1条"/>
      <w:lvlJc w:val="left"/>
      <w:pPr>
        <w:ind w:left="421"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31"/>
    <w:rsid w:val="0013623F"/>
    <w:rsid w:val="001F2DA4"/>
    <w:rsid w:val="00207EC5"/>
    <w:rsid w:val="0028175C"/>
    <w:rsid w:val="00283D44"/>
    <w:rsid w:val="003152DB"/>
    <w:rsid w:val="003924A2"/>
    <w:rsid w:val="003C5D9D"/>
    <w:rsid w:val="00480400"/>
    <w:rsid w:val="004F5188"/>
    <w:rsid w:val="00643C77"/>
    <w:rsid w:val="0066383A"/>
    <w:rsid w:val="00701F90"/>
    <w:rsid w:val="008402AB"/>
    <w:rsid w:val="00865289"/>
    <w:rsid w:val="008750F7"/>
    <w:rsid w:val="008D4BB9"/>
    <w:rsid w:val="00914ECF"/>
    <w:rsid w:val="00956023"/>
    <w:rsid w:val="009B33A8"/>
    <w:rsid w:val="009C3FD9"/>
    <w:rsid w:val="00AB1F39"/>
    <w:rsid w:val="00B64965"/>
    <w:rsid w:val="00C54FAA"/>
    <w:rsid w:val="00C83EBA"/>
    <w:rsid w:val="00C8508B"/>
    <w:rsid w:val="00C9147C"/>
    <w:rsid w:val="00CF3160"/>
    <w:rsid w:val="00D0047F"/>
    <w:rsid w:val="00E047E2"/>
    <w:rsid w:val="00E27065"/>
    <w:rsid w:val="00EE0F70"/>
    <w:rsid w:val="00EE4231"/>
    <w:rsid w:val="139B3762"/>
    <w:rsid w:val="316707E4"/>
    <w:rsid w:val="3A8D7E3B"/>
    <w:rsid w:val="5EB4784C"/>
    <w:rsid w:val="7E455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8"/>
    <w:link w:val="4"/>
    <w:uiPriority w:val="99"/>
    <w:rPr>
      <w:sz w:val="18"/>
      <w:szCs w:val="18"/>
    </w:rPr>
  </w:style>
  <w:style w:type="character" w:customStyle="1" w:styleId="10">
    <w:name w:val="页脚 Char"/>
    <w:basedOn w:val="8"/>
    <w:link w:val="3"/>
    <w:uiPriority w:val="99"/>
    <w:rPr>
      <w:sz w:val="18"/>
      <w:szCs w:val="18"/>
    </w:rPr>
  </w:style>
  <w:style w:type="character" w:customStyle="1" w:styleId="11">
    <w:name w:val="批注框文本 Char"/>
    <w:basedOn w:val="8"/>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10</Pages>
  <Words>624</Words>
  <Characters>3563</Characters>
  <Lines>29</Lines>
  <Paragraphs>8</Paragraphs>
  <TotalTime>29</TotalTime>
  <ScaleCrop>false</ScaleCrop>
  <LinksUpToDate>false</LinksUpToDate>
  <CharactersWithSpaces>4179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2019-08-06T08:54:00Z</dcterms:created>
  <dc:creator>Microsoft</dc:creator>
  <cp:lastModifiedBy>Administrator</cp:lastModifiedBy>
  <cp:lastPrinted>2019-08-24T01:50:00Z</cp:lastPrinted>
  <dcterms:modified xsi:type="dcterms:W3CDTF">2019-08-26T09:54:54Z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